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C91C4B4" w14:textId="77777777" w:rsidR="004F5567" w:rsidRDefault="007E6D83" w:rsidP="00E72EC0">
      <w:pPr>
        <w:pStyle w:val="Title"/>
      </w:pPr>
      <w:bookmarkStart w:id="0" w:name="_GoBack"/>
      <w:bookmarkEnd w:id="0"/>
      <w:r>
        <w:t>Appendix T—</w:t>
      </w:r>
      <w:r w:rsidR="00752DB4">
        <w:t xml:space="preserve">Defining the Inversion Rupture Set </w:t>
      </w:r>
      <w:r w:rsidR="00173621">
        <w:t>U</w:t>
      </w:r>
      <w:r w:rsidR="00993148">
        <w:t xml:space="preserve">sing </w:t>
      </w:r>
      <w:r w:rsidR="00752DB4">
        <w:t>Plausibility Filters</w:t>
      </w:r>
    </w:p>
    <w:p w14:paraId="6F340521" w14:textId="1A641BB9" w:rsidR="004F5567" w:rsidRDefault="00CE4FFC" w:rsidP="00E72EC0">
      <w:pPr>
        <w:pStyle w:val="Authors"/>
      </w:pPr>
      <w:r>
        <w:t xml:space="preserve">By </w:t>
      </w:r>
      <w:r w:rsidR="00752DB4">
        <w:t>Kevin R. Milner</w:t>
      </w:r>
      <w:r w:rsidR="00B0435B">
        <w:rPr>
          <w:rStyle w:val="FootnoteReference"/>
        </w:rPr>
        <w:footnoteReference w:id="1"/>
      </w:r>
      <w:r w:rsidR="00752DB4">
        <w:t>, Morgan T. Page</w:t>
      </w:r>
      <w:r w:rsidR="00B0435B">
        <w:rPr>
          <w:rStyle w:val="FootnoteReference"/>
        </w:rPr>
        <w:footnoteReference w:id="2"/>
      </w:r>
      <w:r w:rsidR="00752DB4">
        <w:t>, Edward H. Field</w:t>
      </w:r>
      <w:r w:rsidR="00470E3C">
        <w:rPr>
          <w:vertAlign w:val="superscript"/>
        </w:rPr>
        <w:t>2</w:t>
      </w:r>
      <w:r w:rsidR="00752DB4">
        <w:t>, Tom Parsons</w:t>
      </w:r>
      <w:r w:rsidR="00470E3C">
        <w:rPr>
          <w:vertAlign w:val="superscript"/>
        </w:rPr>
        <w:t>2</w:t>
      </w:r>
      <w:r w:rsidR="00752DB4">
        <w:t xml:space="preserve">, Glenn </w:t>
      </w:r>
      <w:r w:rsidR="00335843">
        <w:t xml:space="preserve">P. </w:t>
      </w:r>
      <w:proofErr w:type="spellStart"/>
      <w:r w:rsidR="00752DB4">
        <w:t>Biasi</w:t>
      </w:r>
      <w:proofErr w:type="spellEnd"/>
      <w:r w:rsidR="00B0435B">
        <w:rPr>
          <w:rStyle w:val="FootnoteReference"/>
        </w:rPr>
        <w:footnoteReference w:id="3"/>
      </w:r>
      <w:r w:rsidR="00752DB4">
        <w:t xml:space="preserve">, </w:t>
      </w:r>
      <w:r w:rsidR="00173621">
        <w:t xml:space="preserve">and </w:t>
      </w:r>
      <w:r w:rsidR="00752DB4">
        <w:t>Bruce E. Shaw</w:t>
      </w:r>
      <w:r w:rsidR="00B0435B">
        <w:rPr>
          <w:rStyle w:val="FootnoteReference"/>
        </w:rPr>
        <w:footnoteReference w:id="4"/>
      </w:r>
    </w:p>
    <w:p w14:paraId="39B5B7BA" w14:textId="77777777" w:rsidR="004F5567" w:rsidRDefault="00752DB4" w:rsidP="00E72EC0">
      <w:pPr>
        <w:pStyle w:val="Heading1"/>
      </w:pPr>
      <w:r>
        <w:t>Introduction</w:t>
      </w:r>
    </w:p>
    <w:p w14:paraId="0B56346A" w14:textId="0D884367" w:rsidR="004F5567" w:rsidRDefault="00752DB4" w:rsidP="00E72EC0">
      <w:pPr>
        <w:pStyle w:val="BodyText"/>
      </w:pPr>
      <w:r>
        <w:t>The Grand Inversion (</w:t>
      </w:r>
      <w:r w:rsidR="00766365">
        <w:t>a</w:t>
      </w:r>
      <w:r>
        <w:t>ppendix N</w:t>
      </w:r>
      <w:r w:rsidR="00766365">
        <w:t xml:space="preserve">, </w:t>
      </w:r>
      <w:r w:rsidR="007E6D83">
        <w:t>this report</w:t>
      </w:r>
      <w:r>
        <w:t xml:space="preserve">) takes as input, among other things, a list of possible ruptures for which it solves for the frequency of occurrence. To relax segmentation, faults from the </w:t>
      </w:r>
      <w:r w:rsidR="007E6D83">
        <w:t>Uniform California Earthquake Rupture Forecast, version 3 (</w:t>
      </w:r>
      <w:r>
        <w:t>UCERF3</w:t>
      </w:r>
      <w:r w:rsidR="007E6D83">
        <w:t>)</w:t>
      </w:r>
      <w:r w:rsidR="00173621">
        <w:t>,</w:t>
      </w:r>
      <w:r>
        <w:t xml:space="preserve"> </w:t>
      </w:r>
      <w:r w:rsidR="00766365">
        <w:t xml:space="preserve">California Reference </w:t>
      </w:r>
      <w:r>
        <w:t xml:space="preserve">Fault </w:t>
      </w:r>
      <w:r w:rsidR="00766365">
        <w:t xml:space="preserve">Parameter </w:t>
      </w:r>
      <w:r>
        <w:t>Database</w:t>
      </w:r>
      <w:r w:rsidR="00766365">
        <w:t xml:space="preserve"> (appendix A,</w:t>
      </w:r>
      <w:r w:rsidR="007E6D83">
        <w:t xml:space="preserve"> this report</w:t>
      </w:r>
      <w:r w:rsidR="00766365">
        <w:t>)</w:t>
      </w:r>
      <w:r>
        <w:t xml:space="preserve"> are each discretized into equal length subsections with lengths of approximately </w:t>
      </w:r>
      <w:r w:rsidR="00993148">
        <w:t>one-</w:t>
      </w:r>
      <w:r>
        <w:t xml:space="preserve">half the </w:t>
      </w:r>
      <w:proofErr w:type="spellStart"/>
      <w:r>
        <w:t>seismogenic</w:t>
      </w:r>
      <w:proofErr w:type="spellEnd"/>
      <w:r>
        <w:t xml:space="preserve"> thickness of the fault. This results in 2,606 subsections for </w:t>
      </w:r>
      <w:r w:rsidR="008A0B04">
        <w:t>F</w:t>
      </w:r>
      <w:r w:rsidR="00766365">
        <w:t xml:space="preserve">ault </w:t>
      </w:r>
      <w:r w:rsidR="008A0B04">
        <w:t>M</w:t>
      </w:r>
      <w:r w:rsidR="00766365">
        <w:t xml:space="preserve">odel </w:t>
      </w:r>
      <w:r w:rsidR="008A0B04">
        <w:t>3.1 (</w:t>
      </w:r>
      <w:r w:rsidR="00766365">
        <w:t>FM</w:t>
      </w:r>
      <w:r>
        <w:t>3.1</w:t>
      </w:r>
      <w:r w:rsidR="008A0B04">
        <w:t>)</w:t>
      </w:r>
      <w:r>
        <w:t xml:space="preserve"> and 2,664 subsections for </w:t>
      </w:r>
      <w:r w:rsidR="008A0B04">
        <w:t>F</w:t>
      </w:r>
      <w:r w:rsidR="00766365">
        <w:t xml:space="preserve">ault </w:t>
      </w:r>
      <w:r w:rsidR="008A0B04">
        <w:t>M</w:t>
      </w:r>
      <w:r w:rsidR="00766365">
        <w:t xml:space="preserve">odel </w:t>
      </w:r>
      <w:r w:rsidR="008A0B04">
        <w:t>3.2 (</w:t>
      </w:r>
      <w:r w:rsidR="00766365">
        <w:t>FM</w:t>
      </w:r>
      <w:r>
        <w:t>3.2</w:t>
      </w:r>
      <w:r w:rsidR="008A0B04">
        <w:t>)</w:t>
      </w:r>
      <w:r>
        <w:t>. Ruptures are then defined as unique lists of these subsections, and are created by stepping through all possible combinations of subsections applying a set of filters to exclude non-physically sensible ruptures. This results in 253,706 ruptures that pass all filtering criteria with 369 of 560 possible junctions included for F</w:t>
      </w:r>
      <w:r w:rsidR="00766365">
        <w:t>M</w:t>
      </w:r>
      <w:r>
        <w:t xml:space="preserve">3.1, and 305,709 ruptures with 409 of </w:t>
      </w:r>
      <w:r>
        <w:lastRenderedPageBreak/>
        <w:t xml:space="preserve">607 possible junctions included for </w:t>
      </w:r>
      <w:r w:rsidR="00766365">
        <w:t>FM</w:t>
      </w:r>
      <w:r>
        <w:t xml:space="preserve">3.2. A summary of the filtering criteria used in UCERF3, as well as </w:t>
      </w:r>
      <w:r w:rsidR="00993148">
        <w:t>the effect of each filter</w:t>
      </w:r>
      <w:r>
        <w:t xml:space="preserve"> on the overall rupture count, is given in </w:t>
      </w:r>
      <w:r w:rsidR="00766365">
        <w:t xml:space="preserve">table </w:t>
      </w:r>
      <w:r w:rsidR="002857B7">
        <w:t>T</w:t>
      </w:r>
      <w:r>
        <w:t>1.</w:t>
      </w:r>
    </w:p>
    <w:p w14:paraId="088C3852" w14:textId="77777777" w:rsidR="004F5567" w:rsidRDefault="00494820" w:rsidP="007A18ED">
      <w:pPr>
        <w:pStyle w:val="BodyText"/>
      </w:pPr>
      <w:r>
        <w:t>N</w:t>
      </w:r>
      <w:r w:rsidR="00752DB4">
        <w:t>ote that this set of ruptures is an approximation of the system required for tractability of the Grand Inversion. As such, some plausible ruptures are likely excluded, as well as implausible ruptures included. The inversion itself is solely responsible for determining rupture probabilities, with no bearing on the margin with which each rupture passes the thresholds outlined in this appendix.</w:t>
      </w:r>
    </w:p>
    <w:p w14:paraId="065949A8" w14:textId="489B9062" w:rsidR="00760C46" w:rsidRPr="001955D3" w:rsidRDefault="00760C46" w:rsidP="001955D3">
      <w:pPr>
        <w:pStyle w:val="TableTitleT"/>
      </w:pPr>
      <w:r w:rsidRPr="001955D3">
        <w:t xml:space="preserve">Summary of Uniform California Earthquake Rupture Forecast, version 3, (UCERF3) rupture criteria. </w:t>
      </w:r>
    </w:p>
    <w:p w14:paraId="2A6B576C" w14:textId="77777777" w:rsidR="00760C46" w:rsidRDefault="00760C46" w:rsidP="00760C46">
      <w:pPr>
        <w:pStyle w:val="TableHeadnote"/>
      </w:pPr>
      <w:r>
        <w:t xml:space="preserve">[“Apply to junctions only” means that the specified criterion is only checked at junctions between two different </w:t>
      </w:r>
      <w:proofErr w:type="gramStart"/>
      <w:r>
        <w:t>fault</w:t>
      </w:r>
      <w:proofErr w:type="gramEnd"/>
      <w:r>
        <w:t xml:space="preserve"> sections, as opposed to every subsection boundary. “Ruptures excluded (FM3.1)” refers to the number of ruptures that would be included in the UCERF3 rupture set for Fault Model 3.1 (FM3.1) if the given filter were disabled (and all other filters were default), or “N/A” if that filter cannot be disabled. Likewise, “Junctions excluded (FM3.1)” refers to the number of junctions that are within the distance threshold but are excluded by the given filter and would otherwise be included. The final UCERF3 rupture set for FM3.1 has 253,706 ruptures with 369 junctions]</w:t>
      </w:r>
    </w:p>
    <w:tbl>
      <w:tblPr>
        <w:tblW w:w="9720" w:type="dxa"/>
        <w:tblInd w:w="90" w:type="dxa"/>
        <w:tblLayout w:type="fixed"/>
        <w:tblCellMar>
          <w:left w:w="10" w:type="dxa"/>
          <w:right w:w="10" w:type="dxa"/>
        </w:tblCellMar>
        <w:tblLook w:val="0000" w:firstRow="0" w:lastRow="0" w:firstColumn="0" w:lastColumn="0" w:noHBand="0" w:noVBand="0"/>
      </w:tblPr>
      <w:tblGrid>
        <w:gridCol w:w="3105"/>
        <w:gridCol w:w="1950"/>
        <w:gridCol w:w="1320"/>
        <w:gridCol w:w="1590"/>
        <w:gridCol w:w="1755"/>
      </w:tblGrid>
      <w:tr w:rsidR="004F5567" w14:paraId="733078E5" w14:textId="77777777" w:rsidTr="00A8480E">
        <w:tc>
          <w:tcPr>
            <w:tcW w:w="3105" w:type="dxa"/>
            <w:tcBorders>
              <w:top w:val="single" w:sz="4" w:space="0" w:color="auto"/>
              <w:bottom w:val="single" w:sz="4" w:space="0" w:color="auto"/>
            </w:tcBorders>
            <w:tcMar>
              <w:top w:w="100" w:type="dxa"/>
              <w:left w:w="100" w:type="dxa"/>
              <w:bottom w:w="100" w:type="dxa"/>
              <w:right w:w="100" w:type="dxa"/>
            </w:tcMar>
          </w:tcPr>
          <w:p w14:paraId="38607680" w14:textId="77777777" w:rsidR="004F5567" w:rsidRDefault="00752DB4" w:rsidP="00A8480E">
            <w:pPr>
              <w:pStyle w:val="TableCellHeading"/>
            </w:pPr>
            <w:r>
              <w:t>Name</w:t>
            </w:r>
          </w:p>
        </w:tc>
        <w:tc>
          <w:tcPr>
            <w:tcW w:w="1950" w:type="dxa"/>
            <w:tcBorders>
              <w:top w:val="single" w:sz="4" w:space="0" w:color="auto"/>
              <w:bottom w:val="single" w:sz="4" w:space="0" w:color="auto"/>
            </w:tcBorders>
            <w:tcMar>
              <w:top w:w="100" w:type="dxa"/>
              <w:left w:w="100" w:type="dxa"/>
              <w:bottom w:w="100" w:type="dxa"/>
              <w:right w:w="100" w:type="dxa"/>
            </w:tcMar>
          </w:tcPr>
          <w:p w14:paraId="67AEE118" w14:textId="77777777" w:rsidR="004F5567" w:rsidRDefault="00752DB4" w:rsidP="00A8480E">
            <w:pPr>
              <w:pStyle w:val="TableCellHeading"/>
            </w:pPr>
            <w:r>
              <w:t>Threshold</w:t>
            </w:r>
          </w:p>
        </w:tc>
        <w:tc>
          <w:tcPr>
            <w:tcW w:w="1320" w:type="dxa"/>
            <w:tcBorders>
              <w:top w:val="single" w:sz="4" w:space="0" w:color="auto"/>
              <w:bottom w:val="single" w:sz="4" w:space="0" w:color="auto"/>
            </w:tcBorders>
            <w:tcMar>
              <w:top w:w="100" w:type="dxa"/>
              <w:left w:w="100" w:type="dxa"/>
              <w:bottom w:w="100" w:type="dxa"/>
              <w:right w:w="100" w:type="dxa"/>
            </w:tcMar>
          </w:tcPr>
          <w:p w14:paraId="3AFE3255" w14:textId="77777777" w:rsidR="004F5567" w:rsidRDefault="00752DB4" w:rsidP="00A8480E">
            <w:pPr>
              <w:pStyle w:val="TableCellHeading"/>
            </w:pPr>
            <w:r>
              <w:t xml:space="preserve">Apply to </w:t>
            </w:r>
            <w:r w:rsidR="00173621">
              <w:t>j</w:t>
            </w:r>
            <w:r>
              <w:t xml:space="preserve">unctions </w:t>
            </w:r>
            <w:r w:rsidR="00173621">
              <w:t>o</w:t>
            </w:r>
            <w:r>
              <w:t>nly?</w:t>
            </w:r>
          </w:p>
        </w:tc>
        <w:tc>
          <w:tcPr>
            <w:tcW w:w="1590" w:type="dxa"/>
            <w:tcBorders>
              <w:top w:val="single" w:sz="4" w:space="0" w:color="auto"/>
              <w:bottom w:val="single" w:sz="4" w:space="0" w:color="auto"/>
            </w:tcBorders>
            <w:tcMar>
              <w:top w:w="100" w:type="dxa"/>
              <w:left w:w="100" w:type="dxa"/>
              <w:bottom w:w="100" w:type="dxa"/>
              <w:right w:w="100" w:type="dxa"/>
            </w:tcMar>
          </w:tcPr>
          <w:p w14:paraId="44DDADD6" w14:textId="77777777" w:rsidR="004F5567" w:rsidRDefault="00752DB4" w:rsidP="00A8480E">
            <w:pPr>
              <w:pStyle w:val="TableCellHeading"/>
            </w:pPr>
            <w:r>
              <w:t xml:space="preserve">Ruptures </w:t>
            </w:r>
            <w:r w:rsidR="00173621">
              <w:t>e</w:t>
            </w:r>
            <w:r>
              <w:t>xcluded (FM3.1)</w:t>
            </w:r>
          </w:p>
        </w:tc>
        <w:tc>
          <w:tcPr>
            <w:tcW w:w="1755" w:type="dxa"/>
            <w:tcBorders>
              <w:top w:val="single" w:sz="4" w:space="0" w:color="auto"/>
              <w:bottom w:val="single" w:sz="4" w:space="0" w:color="auto"/>
            </w:tcBorders>
            <w:tcMar>
              <w:top w:w="100" w:type="dxa"/>
              <w:left w:w="100" w:type="dxa"/>
              <w:bottom w:w="100" w:type="dxa"/>
              <w:right w:w="100" w:type="dxa"/>
            </w:tcMar>
          </w:tcPr>
          <w:p w14:paraId="0762C51C" w14:textId="77777777" w:rsidR="004F5567" w:rsidRDefault="00752DB4" w:rsidP="00A8480E">
            <w:pPr>
              <w:pStyle w:val="TableCellHeading"/>
            </w:pPr>
            <w:r>
              <w:t xml:space="preserve">Junctions </w:t>
            </w:r>
            <w:r w:rsidR="00173621">
              <w:t>e</w:t>
            </w:r>
            <w:r>
              <w:t>xcluded (FM3.1)</w:t>
            </w:r>
          </w:p>
        </w:tc>
      </w:tr>
      <w:tr w:rsidR="004F5567" w14:paraId="24A20318" w14:textId="77777777" w:rsidTr="00A8480E">
        <w:tc>
          <w:tcPr>
            <w:tcW w:w="3105" w:type="dxa"/>
            <w:tcBorders>
              <w:top w:val="single" w:sz="4" w:space="0" w:color="auto"/>
            </w:tcBorders>
            <w:tcMar>
              <w:top w:w="100" w:type="dxa"/>
              <w:left w:w="100" w:type="dxa"/>
              <w:bottom w:w="100" w:type="dxa"/>
              <w:right w:w="100" w:type="dxa"/>
            </w:tcMar>
          </w:tcPr>
          <w:p w14:paraId="259ACC19" w14:textId="77777777" w:rsidR="004F5567" w:rsidRDefault="00752DB4" w:rsidP="00A8480E">
            <w:pPr>
              <w:pStyle w:val="TableCellBody"/>
            </w:pPr>
            <w:r>
              <w:t xml:space="preserve">Maximum </w:t>
            </w:r>
            <w:r w:rsidR="00173621">
              <w:t>j</w:t>
            </w:r>
            <w:r>
              <w:t>ump distance</w:t>
            </w:r>
          </w:p>
        </w:tc>
        <w:tc>
          <w:tcPr>
            <w:tcW w:w="1950" w:type="dxa"/>
            <w:tcBorders>
              <w:top w:val="single" w:sz="4" w:space="0" w:color="auto"/>
            </w:tcBorders>
            <w:tcMar>
              <w:top w:w="100" w:type="dxa"/>
              <w:left w:w="100" w:type="dxa"/>
              <w:bottom w:w="100" w:type="dxa"/>
              <w:right w:w="100" w:type="dxa"/>
            </w:tcMar>
          </w:tcPr>
          <w:p w14:paraId="3E94ABEE" w14:textId="77777777" w:rsidR="004F5567" w:rsidRDefault="00752DB4" w:rsidP="00A8480E">
            <w:pPr>
              <w:pStyle w:val="TableCellBody"/>
            </w:pPr>
            <w:r>
              <w:t>5 k</w:t>
            </w:r>
            <w:r w:rsidR="00993148">
              <w:t>ilo</w:t>
            </w:r>
            <w:r>
              <w:t>m</w:t>
            </w:r>
            <w:r w:rsidR="00993148">
              <w:t>eter</w:t>
            </w:r>
          </w:p>
        </w:tc>
        <w:tc>
          <w:tcPr>
            <w:tcW w:w="1320" w:type="dxa"/>
            <w:tcBorders>
              <w:top w:val="single" w:sz="4" w:space="0" w:color="auto"/>
            </w:tcBorders>
            <w:tcMar>
              <w:top w:w="100" w:type="dxa"/>
              <w:left w:w="100" w:type="dxa"/>
              <w:bottom w:w="100" w:type="dxa"/>
              <w:right w:w="100" w:type="dxa"/>
            </w:tcMar>
          </w:tcPr>
          <w:p w14:paraId="6894A2EC" w14:textId="77777777" w:rsidR="004F5567" w:rsidRDefault="00752DB4" w:rsidP="00675CA6">
            <w:pPr>
              <w:pStyle w:val="TableCellBody"/>
              <w:ind w:left="300"/>
            </w:pPr>
            <w:proofErr w:type="gramStart"/>
            <w:r>
              <w:t>yes</w:t>
            </w:r>
            <w:proofErr w:type="gramEnd"/>
          </w:p>
        </w:tc>
        <w:tc>
          <w:tcPr>
            <w:tcW w:w="1590" w:type="dxa"/>
            <w:tcBorders>
              <w:top w:val="single" w:sz="4" w:space="0" w:color="auto"/>
            </w:tcBorders>
            <w:tcMar>
              <w:top w:w="100" w:type="dxa"/>
              <w:left w:w="100" w:type="dxa"/>
              <w:bottom w:w="100" w:type="dxa"/>
              <w:right w:w="100" w:type="dxa"/>
            </w:tcMar>
          </w:tcPr>
          <w:p w14:paraId="293B334B" w14:textId="29E35C3F" w:rsidR="004F5567" w:rsidRDefault="00752DB4" w:rsidP="00A8480E">
            <w:pPr>
              <w:pStyle w:val="TableCellBody"/>
            </w:pPr>
            <w:r>
              <w:t>N/A</w:t>
            </w:r>
          </w:p>
        </w:tc>
        <w:tc>
          <w:tcPr>
            <w:tcW w:w="1755" w:type="dxa"/>
            <w:tcBorders>
              <w:top w:val="single" w:sz="4" w:space="0" w:color="auto"/>
            </w:tcBorders>
            <w:tcMar>
              <w:top w:w="100" w:type="dxa"/>
              <w:left w:w="100" w:type="dxa"/>
              <w:bottom w:w="100" w:type="dxa"/>
              <w:right w:w="100" w:type="dxa"/>
            </w:tcMar>
          </w:tcPr>
          <w:p w14:paraId="5F2B8BE0" w14:textId="214B6AA9" w:rsidR="004F5567" w:rsidRDefault="00752DB4" w:rsidP="00675CA6">
            <w:pPr>
              <w:pStyle w:val="TableCellBody"/>
              <w:ind w:left="495"/>
            </w:pPr>
            <w:r>
              <w:t>N/A</w:t>
            </w:r>
          </w:p>
        </w:tc>
      </w:tr>
      <w:tr w:rsidR="004F5567" w14:paraId="610164DC" w14:textId="77777777" w:rsidTr="00A8480E">
        <w:tc>
          <w:tcPr>
            <w:tcW w:w="3105" w:type="dxa"/>
            <w:tcMar>
              <w:top w:w="100" w:type="dxa"/>
              <w:left w:w="100" w:type="dxa"/>
              <w:bottom w:w="100" w:type="dxa"/>
              <w:right w:w="100" w:type="dxa"/>
            </w:tcMar>
          </w:tcPr>
          <w:p w14:paraId="765D66B7" w14:textId="77777777" w:rsidR="004F5567" w:rsidRDefault="00752DB4" w:rsidP="00A8480E">
            <w:pPr>
              <w:pStyle w:val="TableCellBody"/>
            </w:pPr>
            <w:r>
              <w:t xml:space="preserve">Junction </w:t>
            </w:r>
            <w:r w:rsidR="00173621">
              <w:t>a</w:t>
            </w:r>
            <w:r>
              <w:t xml:space="preserve">zimuth </w:t>
            </w:r>
            <w:r w:rsidR="00173621">
              <w:t>c</w:t>
            </w:r>
            <w:r>
              <w:t>hange</w:t>
            </w:r>
          </w:p>
        </w:tc>
        <w:tc>
          <w:tcPr>
            <w:tcW w:w="1950" w:type="dxa"/>
            <w:tcMar>
              <w:top w:w="100" w:type="dxa"/>
              <w:left w:w="100" w:type="dxa"/>
              <w:bottom w:w="100" w:type="dxa"/>
              <w:right w:w="100" w:type="dxa"/>
            </w:tcMar>
          </w:tcPr>
          <w:p w14:paraId="783A60C1" w14:textId="77777777" w:rsidR="004F5567" w:rsidRDefault="00752DB4" w:rsidP="00A8480E">
            <w:pPr>
              <w:pStyle w:val="TableCellBody"/>
            </w:pPr>
            <w:r>
              <w:t>60 degrees</w:t>
            </w:r>
          </w:p>
        </w:tc>
        <w:tc>
          <w:tcPr>
            <w:tcW w:w="1320" w:type="dxa"/>
            <w:tcMar>
              <w:top w:w="100" w:type="dxa"/>
              <w:left w:w="100" w:type="dxa"/>
              <w:bottom w:w="100" w:type="dxa"/>
              <w:right w:w="100" w:type="dxa"/>
            </w:tcMar>
          </w:tcPr>
          <w:p w14:paraId="729ECA11" w14:textId="77777777" w:rsidR="004F5567" w:rsidRDefault="00752DB4" w:rsidP="00675CA6">
            <w:pPr>
              <w:pStyle w:val="TableCellBody"/>
              <w:ind w:left="300"/>
            </w:pPr>
            <w:proofErr w:type="gramStart"/>
            <w:r>
              <w:t>yes</w:t>
            </w:r>
            <w:proofErr w:type="gramEnd"/>
          </w:p>
        </w:tc>
        <w:tc>
          <w:tcPr>
            <w:tcW w:w="1590" w:type="dxa"/>
            <w:tcMar>
              <w:top w:w="100" w:type="dxa"/>
              <w:left w:w="100" w:type="dxa"/>
              <w:bottom w:w="100" w:type="dxa"/>
              <w:right w:w="100" w:type="dxa"/>
            </w:tcMar>
          </w:tcPr>
          <w:p w14:paraId="50BAD50D" w14:textId="77777777" w:rsidR="004F5567" w:rsidRDefault="00752DB4" w:rsidP="00A8480E">
            <w:pPr>
              <w:pStyle w:val="TableCellBody"/>
            </w:pPr>
            <w:r>
              <w:t>12,909</w:t>
            </w:r>
          </w:p>
        </w:tc>
        <w:tc>
          <w:tcPr>
            <w:tcW w:w="1755" w:type="dxa"/>
            <w:tcMar>
              <w:top w:w="100" w:type="dxa"/>
              <w:left w:w="100" w:type="dxa"/>
              <w:bottom w:w="100" w:type="dxa"/>
              <w:right w:w="100" w:type="dxa"/>
            </w:tcMar>
          </w:tcPr>
          <w:p w14:paraId="2A8C3CB3" w14:textId="77777777" w:rsidR="004F5567" w:rsidRDefault="00752DB4" w:rsidP="00675CA6">
            <w:pPr>
              <w:pStyle w:val="TableCellBody"/>
              <w:ind w:left="495"/>
            </w:pPr>
            <w:r>
              <w:t>33</w:t>
            </w:r>
          </w:p>
        </w:tc>
      </w:tr>
      <w:tr w:rsidR="004F5567" w14:paraId="2BDDCCB0" w14:textId="77777777" w:rsidTr="00A8480E">
        <w:tc>
          <w:tcPr>
            <w:tcW w:w="3105" w:type="dxa"/>
            <w:tcMar>
              <w:top w:w="100" w:type="dxa"/>
              <w:left w:w="100" w:type="dxa"/>
              <w:bottom w:w="100" w:type="dxa"/>
              <w:right w:w="100" w:type="dxa"/>
            </w:tcMar>
          </w:tcPr>
          <w:p w14:paraId="0D8730DB" w14:textId="77777777" w:rsidR="004F5567" w:rsidRDefault="00752DB4" w:rsidP="00A8480E">
            <w:pPr>
              <w:pStyle w:val="TableCellBody"/>
            </w:pPr>
            <w:r>
              <w:t xml:space="preserve">Total </w:t>
            </w:r>
            <w:r w:rsidR="00173621">
              <w:t>a</w:t>
            </w:r>
            <w:r>
              <w:t xml:space="preserve">zimuth </w:t>
            </w:r>
            <w:r w:rsidR="00173621">
              <w:t>c</w:t>
            </w:r>
            <w:r>
              <w:t>hange</w:t>
            </w:r>
          </w:p>
        </w:tc>
        <w:tc>
          <w:tcPr>
            <w:tcW w:w="1950" w:type="dxa"/>
            <w:tcMar>
              <w:top w:w="100" w:type="dxa"/>
              <w:left w:w="100" w:type="dxa"/>
              <w:bottom w:w="100" w:type="dxa"/>
              <w:right w:w="100" w:type="dxa"/>
            </w:tcMar>
          </w:tcPr>
          <w:p w14:paraId="1669E860" w14:textId="77777777" w:rsidR="004F5567" w:rsidRDefault="00752DB4" w:rsidP="00A8480E">
            <w:pPr>
              <w:pStyle w:val="TableCellBody"/>
            </w:pPr>
            <w:r>
              <w:t>60 degrees</w:t>
            </w:r>
          </w:p>
        </w:tc>
        <w:tc>
          <w:tcPr>
            <w:tcW w:w="1320" w:type="dxa"/>
            <w:tcMar>
              <w:top w:w="100" w:type="dxa"/>
              <w:left w:w="100" w:type="dxa"/>
              <w:bottom w:w="100" w:type="dxa"/>
              <w:right w:w="100" w:type="dxa"/>
            </w:tcMar>
          </w:tcPr>
          <w:p w14:paraId="780461CB" w14:textId="77777777" w:rsidR="004F5567" w:rsidRDefault="00752DB4" w:rsidP="00675CA6">
            <w:pPr>
              <w:pStyle w:val="TableCellBody"/>
              <w:ind w:left="300"/>
            </w:pPr>
            <w:proofErr w:type="gramStart"/>
            <w:r>
              <w:t>no</w:t>
            </w:r>
            <w:proofErr w:type="gramEnd"/>
          </w:p>
        </w:tc>
        <w:tc>
          <w:tcPr>
            <w:tcW w:w="1590" w:type="dxa"/>
            <w:tcMar>
              <w:top w:w="100" w:type="dxa"/>
              <w:left w:w="100" w:type="dxa"/>
              <w:bottom w:w="100" w:type="dxa"/>
              <w:right w:w="100" w:type="dxa"/>
            </w:tcMar>
          </w:tcPr>
          <w:p w14:paraId="5B28AE6B" w14:textId="77777777" w:rsidR="004F5567" w:rsidRDefault="00752DB4" w:rsidP="00A8480E">
            <w:pPr>
              <w:pStyle w:val="TableCellBody"/>
            </w:pPr>
            <w:r>
              <w:t>21,848</w:t>
            </w:r>
          </w:p>
        </w:tc>
        <w:tc>
          <w:tcPr>
            <w:tcW w:w="1755" w:type="dxa"/>
            <w:tcMar>
              <w:top w:w="100" w:type="dxa"/>
              <w:left w:w="100" w:type="dxa"/>
              <w:bottom w:w="100" w:type="dxa"/>
              <w:right w:w="100" w:type="dxa"/>
            </w:tcMar>
          </w:tcPr>
          <w:p w14:paraId="42B81A82" w14:textId="77777777" w:rsidR="004F5567" w:rsidRDefault="00752DB4" w:rsidP="00675CA6">
            <w:pPr>
              <w:pStyle w:val="TableCellBody"/>
              <w:ind w:left="495"/>
            </w:pPr>
            <w:r>
              <w:t>3</w:t>
            </w:r>
          </w:p>
        </w:tc>
      </w:tr>
      <w:tr w:rsidR="004F5567" w14:paraId="2D22947E" w14:textId="77777777" w:rsidTr="00A8480E">
        <w:tc>
          <w:tcPr>
            <w:tcW w:w="3105" w:type="dxa"/>
            <w:tcMar>
              <w:top w:w="100" w:type="dxa"/>
              <w:left w:w="100" w:type="dxa"/>
              <w:bottom w:w="100" w:type="dxa"/>
              <w:right w:w="100" w:type="dxa"/>
            </w:tcMar>
          </w:tcPr>
          <w:p w14:paraId="77023F25" w14:textId="77777777" w:rsidR="004F5567" w:rsidRDefault="00752DB4" w:rsidP="00A8480E">
            <w:pPr>
              <w:pStyle w:val="TableCellBody"/>
            </w:pPr>
            <w:r>
              <w:t xml:space="preserve">Cumulative </w:t>
            </w:r>
            <w:r w:rsidR="00173621">
              <w:t>a</w:t>
            </w:r>
            <w:r>
              <w:t xml:space="preserve">zimuth </w:t>
            </w:r>
            <w:r w:rsidR="00173621">
              <w:t>c</w:t>
            </w:r>
            <w:r>
              <w:t>hange</w:t>
            </w:r>
          </w:p>
        </w:tc>
        <w:tc>
          <w:tcPr>
            <w:tcW w:w="1950" w:type="dxa"/>
            <w:tcMar>
              <w:top w:w="100" w:type="dxa"/>
              <w:left w:w="100" w:type="dxa"/>
              <w:bottom w:w="100" w:type="dxa"/>
              <w:right w:w="100" w:type="dxa"/>
            </w:tcMar>
          </w:tcPr>
          <w:p w14:paraId="2C3D6C06" w14:textId="77777777" w:rsidR="004F5567" w:rsidRDefault="00752DB4" w:rsidP="00A8480E">
            <w:pPr>
              <w:pStyle w:val="TableCellBody"/>
            </w:pPr>
            <w:r>
              <w:t>560 degrees</w:t>
            </w:r>
          </w:p>
        </w:tc>
        <w:tc>
          <w:tcPr>
            <w:tcW w:w="1320" w:type="dxa"/>
            <w:tcMar>
              <w:top w:w="100" w:type="dxa"/>
              <w:left w:w="100" w:type="dxa"/>
              <w:bottom w:w="100" w:type="dxa"/>
              <w:right w:w="100" w:type="dxa"/>
            </w:tcMar>
          </w:tcPr>
          <w:p w14:paraId="4B65E624" w14:textId="77777777" w:rsidR="004F5567" w:rsidRDefault="00752DB4" w:rsidP="00675CA6">
            <w:pPr>
              <w:pStyle w:val="TableCellBody"/>
              <w:ind w:left="300"/>
            </w:pPr>
            <w:proofErr w:type="gramStart"/>
            <w:r>
              <w:t>no</w:t>
            </w:r>
            <w:proofErr w:type="gramEnd"/>
          </w:p>
        </w:tc>
        <w:tc>
          <w:tcPr>
            <w:tcW w:w="1590" w:type="dxa"/>
            <w:tcMar>
              <w:top w:w="100" w:type="dxa"/>
              <w:left w:w="100" w:type="dxa"/>
              <w:bottom w:w="100" w:type="dxa"/>
              <w:right w:w="100" w:type="dxa"/>
            </w:tcMar>
          </w:tcPr>
          <w:p w14:paraId="1F3AC341" w14:textId="77777777" w:rsidR="004F5567" w:rsidRDefault="00752DB4" w:rsidP="00A8480E">
            <w:pPr>
              <w:pStyle w:val="TableCellBody"/>
            </w:pPr>
            <w:r>
              <w:t>&gt; 1,000,000</w:t>
            </w:r>
          </w:p>
        </w:tc>
        <w:tc>
          <w:tcPr>
            <w:tcW w:w="1755" w:type="dxa"/>
            <w:tcMar>
              <w:top w:w="100" w:type="dxa"/>
              <w:left w:w="100" w:type="dxa"/>
              <w:bottom w:w="100" w:type="dxa"/>
              <w:right w:w="100" w:type="dxa"/>
            </w:tcMar>
          </w:tcPr>
          <w:p w14:paraId="2C6155BA" w14:textId="77777777" w:rsidR="004F5567" w:rsidRDefault="00752DB4" w:rsidP="00675CA6">
            <w:pPr>
              <w:pStyle w:val="TableCellBody"/>
              <w:ind w:left="495"/>
            </w:pPr>
            <w:r>
              <w:t>0</w:t>
            </w:r>
          </w:p>
        </w:tc>
      </w:tr>
      <w:tr w:rsidR="004F5567" w14:paraId="1ACF204D" w14:textId="77777777" w:rsidTr="00A8480E">
        <w:tc>
          <w:tcPr>
            <w:tcW w:w="3105" w:type="dxa"/>
            <w:tcMar>
              <w:top w:w="100" w:type="dxa"/>
              <w:left w:w="100" w:type="dxa"/>
              <w:bottom w:w="100" w:type="dxa"/>
              <w:right w:w="100" w:type="dxa"/>
            </w:tcMar>
          </w:tcPr>
          <w:p w14:paraId="22A76A09" w14:textId="77777777" w:rsidR="004F5567" w:rsidRDefault="00752DB4" w:rsidP="00A8480E">
            <w:pPr>
              <w:pStyle w:val="TableCellBody"/>
            </w:pPr>
            <w:r>
              <w:t xml:space="preserve">Cumulative </w:t>
            </w:r>
            <w:r w:rsidR="00173621">
              <w:t>r</w:t>
            </w:r>
            <w:r>
              <w:t xml:space="preserve">ake </w:t>
            </w:r>
            <w:r w:rsidR="00173621">
              <w:t>c</w:t>
            </w:r>
            <w:r>
              <w:t>hange</w:t>
            </w:r>
          </w:p>
        </w:tc>
        <w:tc>
          <w:tcPr>
            <w:tcW w:w="1950" w:type="dxa"/>
            <w:tcMar>
              <w:top w:w="100" w:type="dxa"/>
              <w:left w:w="100" w:type="dxa"/>
              <w:bottom w:w="100" w:type="dxa"/>
              <w:right w:w="100" w:type="dxa"/>
            </w:tcMar>
          </w:tcPr>
          <w:p w14:paraId="0B9BA0F5" w14:textId="77777777" w:rsidR="004F5567" w:rsidRDefault="00752DB4" w:rsidP="00A8480E">
            <w:pPr>
              <w:pStyle w:val="TableCellBody"/>
            </w:pPr>
            <w:r>
              <w:t>180 degrees</w:t>
            </w:r>
          </w:p>
        </w:tc>
        <w:tc>
          <w:tcPr>
            <w:tcW w:w="1320" w:type="dxa"/>
            <w:tcMar>
              <w:top w:w="100" w:type="dxa"/>
              <w:left w:w="100" w:type="dxa"/>
              <w:bottom w:w="100" w:type="dxa"/>
              <w:right w:w="100" w:type="dxa"/>
            </w:tcMar>
          </w:tcPr>
          <w:p w14:paraId="6C7A87A1" w14:textId="77777777" w:rsidR="004F5567" w:rsidRDefault="00752DB4" w:rsidP="00675CA6">
            <w:pPr>
              <w:pStyle w:val="TableCellBody"/>
              <w:ind w:left="300"/>
            </w:pPr>
            <w:proofErr w:type="gramStart"/>
            <w:r>
              <w:t>no</w:t>
            </w:r>
            <w:proofErr w:type="gramEnd"/>
          </w:p>
        </w:tc>
        <w:tc>
          <w:tcPr>
            <w:tcW w:w="1590" w:type="dxa"/>
            <w:tcMar>
              <w:top w:w="100" w:type="dxa"/>
              <w:left w:w="100" w:type="dxa"/>
              <w:bottom w:w="100" w:type="dxa"/>
              <w:right w:w="100" w:type="dxa"/>
            </w:tcMar>
          </w:tcPr>
          <w:p w14:paraId="33B22745" w14:textId="77777777" w:rsidR="004F5567" w:rsidRDefault="00752DB4" w:rsidP="00A8480E">
            <w:pPr>
              <w:pStyle w:val="TableCellBody"/>
            </w:pPr>
            <w:r>
              <w:t>13,816</w:t>
            </w:r>
          </w:p>
        </w:tc>
        <w:tc>
          <w:tcPr>
            <w:tcW w:w="1755" w:type="dxa"/>
            <w:tcMar>
              <w:top w:w="100" w:type="dxa"/>
              <w:left w:w="100" w:type="dxa"/>
              <w:bottom w:w="100" w:type="dxa"/>
              <w:right w:w="100" w:type="dxa"/>
            </w:tcMar>
          </w:tcPr>
          <w:p w14:paraId="54995E9A" w14:textId="77777777" w:rsidR="004F5567" w:rsidRDefault="00752DB4" w:rsidP="00675CA6">
            <w:pPr>
              <w:pStyle w:val="TableCellBody"/>
              <w:ind w:left="495"/>
            </w:pPr>
            <w:r>
              <w:t>0</w:t>
            </w:r>
          </w:p>
        </w:tc>
      </w:tr>
      <w:tr w:rsidR="004F5567" w14:paraId="4815A0AB" w14:textId="77777777" w:rsidTr="00A8480E">
        <w:tc>
          <w:tcPr>
            <w:tcW w:w="3105" w:type="dxa"/>
            <w:tcMar>
              <w:top w:w="100" w:type="dxa"/>
              <w:left w:w="100" w:type="dxa"/>
              <w:bottom w:w="100" w:type="dxa"/>
              <w:right w:w="100" w:type="dxa"/>
            </w:tcMar>
          </w:tcPr>
          <w:p w14:paraId="1716E219" w14:textId="77777777" w:rsidR="004F5567" w:rsidRDefault="00752DB4" w:rsidP="00A8480E">
            <w:pPr>
              <w:pStyle w:val="TableCellBody"/>
            </w:pPr>
            <w:r>
              <w:t xml:space="preserve">Minimum </w:t>
            </w:r>
            <w:r w:rsidR="00173621">
              <w:t>n</w:t>
            </w:r>
            <w:r>
              <w:t xml:space="preserve">umber of subsections </w:t>
            </w:r>
            <w:r w:rsidR="00173621">
              <w:t>p</w:t>
            </w:r>
            <w:r>
              <w:t xml:space="preserve">er </w:t>
            </w:r>
            <w:r w:rsidR="00173621">
              <w:t>f</w:t>
            </w:r>
            <w:r>
              <w:t>ault</w:t>
            </w:r>
          </w:p>
        </w:tc>
        <w:tc>
          <w:tcPr>
            <w:tcW w:w="1950" w:type="dxa"/>
            <w:tcMar>
              <w:top w:w="100" w:type="dxa"/>
              <w:left w:w="100" w:type="dxa"/>
              <w:bottom w:w="100" w:type="dxa"/>
              <w:right w:w="100" w:type="dxa"/>
            </w:tcMar>
          </w:tcPr>
          <w:p w14:paraId="63EC8E6E" w14:textId="77777777" w:rsidR="004F5567" w:rsidRDefault="00752DB4" w:rsidP="00A8480E">
            <w:pPr>
              <w:pStyle w:val="TableCellBody"/>
            </w:pPr>
            <w:r>
              <w:t>2</w:t>
            </w:r>
          </w:p>
        </w:tc>
        <w:tc>
          <w:tcPr>
            <w:tcW w:w="1320" w:type="dxa"/>
            <w:tcMar>
              <w:top w:w="100" w:type="dxa"/>
              <w:left w:w="100" w:type="dxa"/>
              <w:bottom w:w="100" w:type="dxa"/>
              <w:right w:w="100" w:type="dxa"/>
            </w:tcMar>
          </w:tcPr>
          <w:p w14:paraId="0520F864" w14:textId="77777777" w:rsidR="004F5567" w:rsidRDefault="00752DB4" w:rsidP="00675CA6">
            <w:pPr>
              <w:pStyle w:val="TableCellBody"/>
              <w:ind w:left="300"/>
            </w:pPr>
            <w:proofErr w:type="gramStart"/>
            <w:r>
              <w:t>no</w:t>
            </w:r>
            <w:proofErr w:type="gramEnd"/>
          </w:p>
        </w:tc>
        <w:tc>
          <w:tcPr>
            <w:tcW w:w="1590" w:type="dxa"/>
            <w:tcMar>
              <w:top w:w="100" w:type="dxa"/>
              <w:left w:w="100" w:type="dxa"/>
              <w:bottom w:w="100" w:type="dxa"/>
              <w:right w:w="100" w:type="dxa"/>
            </w:tcMar>
          </w:tcPr>
          <w:p w14:paraId="5CE5D36B" w14:textId="7D904F08" w:rsidR="004F5567" w:rsidRDefault="00752DB4" w:rsidP="00A8480E">
            <w:pPr>
              <w:pStyle w:val="TableCellBody"/>
            </w:pPr>
            <w:r>
              <w:t>N/A</w:t>
            </w:r>
          </w:p>
        </w:tc>
        <w:tc>
          <w:tcPr>
            <w:tcW w:w="1755" w:type="dxa"/>
            <w:tcMar>
              <w:top w:w="100" w:type="dxa"/>
              <w:left w:w="100" w:type="dxa"/>
              <w:bottom w:w="100" w:type="dxa"/>
              <w:right w:w="100" w:type="dxa"/>
            </w:tcMar>
          </w:tcPr>
          <w:p w14:paraId="77EC8776" w14:textId="08BBB240" w:rsidR="004F5567" w:rsidRDefault="00752DB4" w:rsidP="00675CA6">
            <w:pPr>
              <w:pStyle w:val="TableCellBody"/>
              <w:ind w:left="495"/>
            </w:pPr>
            <w:r>
              <w:t>N/A</w:t>
            </w:r>
          </w:p>
        </w:tc>
      </w:tr>
      <w:tr w:rsidR="004F5567" w14:paraId="0338DDFA" w14:textId="77777777" w:rsidTr="00A8480E">
        <w:tc>
          <w:tcPr>
            <w:tcW w:w="3105" w:type="dxa"/>
            <w:tcBorders>
              <w:bottom w:val="single" w:sz="4" w:space="0" w:color="auto"/>
            </w:tcBorders>
            <w:tcMar>
              <w:top w:w="100" w:type="dxa"/>
              <w:left w:w="100" w:type="dxa"/>
              <w:bottom w:w="100" w:type="dxa"/>
              <w:right w:w="100" w:type="dxa"/>
            </w:tcMar>
          </w:tcPr>
          <w:p w14:paraId="00C1A20E" w14:textId="77777777" w:rsidR="004F5567" w:rsidRDefault="00752DB4" w:rsidP="00A8480E">
            <w:pPr>
              <w:pStyle w:val="TableCellBody"/>
            </w:pPr>
            <w:r>
              <w:t xml:space="preserve">Coulomb </w:t>
            </w:r>
            <w:r w:rsidR="00173621">
              <w:t>f</w:t>
            </w:r>
            <w:r>
              <w:t>ilter</w:t>
            </w:r>
          </w:p>
        </w:tc>
        <w:tc>
          <w:tcPr>
            <w:tcW w:w="1950" w:type="dxa"/>
            <w:tcBorders>
              <w:bottom w:val="single" w:sz="4" w:space="0" w:color="auto"/>
            </w:tcBorders>
            <w:tcMar>
              <w:top w:w="100" w:type="dxa"/>
              <w:left w:w="100" w:type="dxa"/>
              <w:bottom w:w="100" w:type="dxa"/>
              <w:right w:w="100" w:type="dxa"/>
            </w:tcMar>
          </w:tcPr>
          <w:p w14:paraId="1F72B613" w14:textId="77777777" w:rsidR="004F5567" w:rsidRDefault="00752DB4" w:rsidP="00A8480E">
            <w:pPr>
              <w:pStyle w:val="TableCellBody"/>
            </w:pPr>
            <w:r>
              <w:t>PΔCFF ≥ 0.04 or ΔCFF ≥ 1.25 bar</w:t>
            </w:r>
          </w:p>
        </w:tc>
        <w:tc>
          <w:tcPr>
            <w:tcW w:w="1320" w:type="dxa"/>
            <w:tcBorders>
              <w:bottom w:val="single" w:sz="4" w:space="0" w:color="auto"/>
            </w:tcBorders>
            <w:tcMar>
              <w:top w:w="100" w:type="dxa"/>
              <w:left w:w="100" w:type="dxa"/>
              <w:bottom w:w="100" w:type="dxa"/>
              <w:right w:w="100" w:type="dxa"/>
            </w:tcMar>
          </w:tcPr>
          <w:p w14:paraId="0EBFB938" w14:textId="77777777" w:rsidR="004F5567" w:rsidRDefault="00752DB4" w:rsidP="00675CA6">
            <w:pPr>
              <w:pStyle w:val="TableCellBody"/>
              <w:ind w:left="300"/>
            </w:pPr>
            <w:proofErr w:type="gramStart"/>
            <w:r>
              <w:t>yes</w:t>
            </w:r>
            <w:proofErr w:type="gramEnd"/>
          </w:p>
        </w:tc>
        <w:tc>
          <w:tcPr>
            <w:tcW w:w="1590" w:type="dxa"/>
            <w:tcBorders>
              <w:bottom w:val="single" w:sz="4" w:space="0" w:color="auto"/>
            </w:tcBorders>
            <w:tcMar>
              <w:top w:w="100" w:type="dxa"/>
              <w:left w:w="100" w:type="dxa"/>
              <w:bottom w:w="100" w:type="dxa"/>
              <w:right w:w="100" w:type="dxa"/>
            </w:tcMar>
          </w:tcPr>
          <w:p w14:paraId="6C314ECD" w14:textId="77777777" w:rsidR="004F5567" w:rsidRDefault="00752DB4" w:rsidP="00A8480E">
            <w:pPr>
              <w:pStyle w:val="TableCellBody"/>
            </w:pPr>
            <w:r>
              <w:t>258,310</w:t>
            </w:r>
          </w:p>
        </w:tc>
        <w:tc>
          <w:tcPr>
            <w:tcW w:w="1755" w:type="dxa"/>
            <w:tcBorders>
              <w:bottom w:val="single" w:sz="4" w:space="0" w:color="auto"/>
            </w:tcBorders>
            <w:tcMar>
              <w:top w:w="100" w:type="dxa"/>
              <w:left w:w="100" w:type="dxa"/>
              <w:bottom w:w="100" w:type="dxa"/>
              <w:right w:w="100" w:type="dxa"/>
            </w:tcMar>
          </w:tcPr>
          <w:p w14:paraId="3AA91289" w14:textId="77777777" w:rsidR="004F5567" w:rsidRDefault="00752DB4" w:rsidP="00675CA6">
            <w:pPr>
              <w:pStyle w:val="TableCellBody"/>
              <w:ind w:left="495"/>
            </w:pPr>
            <w:r>
              <w:t>105</w:t>
            </w:r>
          </w:p>
        </w:tc>
      </w:tr>
    </w:tbl>
    <w:p w14:paraId="07AEC7C0" w14:textId="77777777" w:rsidR="004F5567" w:rsidRDefault="00752DB4" w:rsidP="00AD1FEB">
      <w:pPr>
        <w:pStyle w:val="Heading1"/>
      </w:pPr>
      <w:r>
        <w:lastRenderedPageBreak/>
        <w:t>Maximum Jump Distance</w:t>
      </w:r>
    </w:p>
    <w:p w14:paraId="5731C832" w14:textId="77777777" w:rsidR="004F5567" w:rsidRDefault="00167305" w:rsidP="00AD1FEB">
      <w:pPr>
        <w:pStyle w:val="BodyText"/>
      </w:pPr>
      <w:r>
        <w:t xml:space="preserve">The maximum jump distance </w:t>
      </w:r>
      <w:r w:rsidR="0088025B">
        <w:t>criterion</w:t>
      </w:r>
      <w:r w:rsidR="00752DB4">
        <w:t xml:space="preserve"> specifies the maximum distance in three dimensions between the closest points on each pair of adjacent fault sections in a rupture. Note that in our implementation, for simplicity, ruptures can only jump from one fault section to another fault section at their closest point</w:t>
      </w:r>
      <w:r w:rsidR="008A0B04">
        <w:t>,</w:t>
      </w:r>
      <w:r w:rsidR="00752DB4">
        <w:t xml:space="preserve"> provided this distance is within the maximum jump distance these faults can </w:t>
      </w:r>
      <w:r w:rsidR="008F57A3">
        <w:t>connect</w:t>
      </w:r>
      <w:r w:rsidR="00752DB4">
        <w:t xml:space="preserve">. This prevents ruptures from jumping back and forth between two parallel fault sections. Our value of 5 km is consistent with the maximum jump distance in the </w:t>
      </w:r>
      <w:proofErr w:type="spellStart"/>
      <w:r w:rsidR="00752DB4">
        <w:t>Wesnousky</w:t>
      </w:r>
      <w:proofErr w:type="spellEnd"/>
      <w:r w:rsidR="00752DB4">
        <w:t xml:space="preserve"> database of earthquake surface ruptures (</w:t>
      </w:r>
      <w:proofErr w:type="spellStart"/>
      <w:r w:rsidR="00752DB4" w:rsidRPr="007E6D83">
        <w:t>Wesnousky</w:t>
      </w:r>
      <w:proofErr w:type="spellEnd"/>
      <w:r w:rsidR="00752DB4">
        <w:t xml:space="preserve">, 2008). Rupture and junction counts for various possible distance thresholds are given in </w:t>
      </w:r>
      <w:r w:rsidR="00766365">
        <w:t xml:space="preserve">table </w:t>
      </w:r>
      <w:r w:rsidR="002857B7">
        <w:t>T</w:t>
      </w:r>
      <w:r w:rsidR="00752DB4">
        <w:t xml:space="preserve">2. See </w:t>
      </w:r>
      <w:r w:rsidR="00766365">
        <w:t xml:space="preserve">appendix </w:t>
      </w:r>
      <w:r w:rsidR="00752DB4">
        <w:t>J</w:t>
      </w:r>
      <w:r w:rsidR="00766365">
        <w:t xml:space="preserve"> (</w:t>
      </w:r>
      <w:r w:rsidR="007E6D83">
        <w:t>this report</w:t>
      </w:r>
      <w:r w:rsidR="00766365">
        <w:t>)</w:t>
      </w:r>
      <w:r w:rsidR="00752DB4">
        <w:t xml:space="preserve"> for more discussion of </w:t>
      </w:r>
      <w:r w:rsidR="008A0B04">
        <w:t xml:space="preserve">measured </w:t>
      </w:r>
      <w:r w:rsidR="00752DB4">
        <w:t>rupture-jump statistics.</w:t>
      </w:r>
    </w:p>
    <w:p w14:paraId="0A5D9277" w14:textId="466AED21" w:rsidR="007F2AB2" w:rsidRDefault="007B310F" w:rsidP="001955D3">
      <w:pPr>
        <w:pStyle w:val="TableTitleT"/>
      </w:pPr>
      <w:r>
        <w:t xml:space="preserve">Rupture counts for various maximum jump distance thresholds for Fault Model 3.1, as well as the number of junctions between different fault sections included by this and other filters, and the total number of possible junctions within the given distance. </w:t>
      </w:r>
    </w:p>
    <w:p w14:paraId="2BDA0FE4" w14:textId="3E361A84" w:rsidR="007B310F" w:rsidRDefault="007F2AB2" w:rsidP="007F2AB2">
      <w:pPr>
        <w:pStyle w:val="TableHeadnote"/>
      </w:pPr>
      <w:r>
        <w:t>[</w:t>
      </w:r>
      <w:r w:rsidR="007B310F">
        <w:t>A maximum jump distance of 0 refers to either intersecting faults, or multiple sections of a single fault (such as the San Andreas Fault). The rupture count for 3 km is greater than for 5 km because of a special case in the minimum number of sections per rupture criterion that allows single-subsection connectors if two fault sections cannot otherwise connect</w:t>
      </w:r>
      <w:r w:rsidR="007B310F">
        <w:rPr>
          <w:rStyle w:val="apple-style-span"/>
          <w:sz w:val="23"/>
          <w:szCs w:val="23"/>
        </w:rPr>
        <w:t> (fig. T3)</w:t>
      </w:r>
      <w:r w:rsidR="007B310F">
        <w:t xml:space="preserve">.  There are fault sections in our rupture set separated by distances between 3 and 5 km that can connect with </w:t>
      </w:r>
      <w:r w:rsidR="007B310F">
        <w:rPr>
          <w:i/>
          <w:iCs/>
        </w:rPr>
        <w:t>multiple</w:t>
      </w:r>
      <w:r w:rsidR="007B310F">
        <w:t xml:space="preserve"> single subsection connectors.  In these cases, more ruptures are added to the rupture set if the distance criterion precludes a direct connection between the fault sections. The rupture counts are 243,624 for 5 km and 215,348 for 3 km, if single-subsection connectors are disabled.</w:t>
      </w:r>
      <w:r>
        <w:t>]</w:t>
      </w:r>
    </w:p>
    <w:p w14:paraId="67A05C9E" w14:textId="77777777" w:rsidR="007B310F" w:rsidRDefault="007B310F" w:rsidP="00AD1FEB">
      <w:pPr>
        <w:pStyle w:val="BodyText"/>
      </w:pPr>
    </w:p>
    <w:tbl>
      <w:tblPr>
        <w:tblW w:w="9360" w:type="dxa"/>
        <w:tblInd w:w="90" w:type="dxa"/>
        <w:tblLayout w:type="fixed"/>
        <w:tblCellMar>
          <w:left w:w="10" w:type="dxa"/>
          <w:right w:w="10" w:type="dxa"/>
        </w:tblCellMar>
        <w:tblLook w:val="0000" w:firstRow="0" w:lastRow="0" w:firstColumn="0" w:lastColumn="0" w:noHBand="0" w:noVBand="0"/>
      </w:tblPr>
      <w:tblGrid>
        <w:gridCol w:w="2340"/>
        <w:gridCol w:w="2340"/>
        <w:gridCol w:w="2340"/>
        <w:gridCol w:w="2340"/>
      </w:tblGrid>
      <w:tr w:rsidR="004F5567" w14:paraId="4DD1F916" w14:textId="77777777" w:rsidTr="00B555D4">
        <w:tc>
          <w:tcPr>
            <w:tcW w:w="2340" w:type="dxa"/>
            <w:tcBorders>
              <w:top w:val="single" w:sz="4" w:space="0" w:color="auto"/>
              <w:bottom w:val="single" w:sz="4" w:space="0" w:color="auto"/>
            </w:tcBorders>
            <w:tcMar>
              <w:top w:w="100" w:type="dxa"/>
              <w:left w:w="100" w:type="dxa"/>
              <w:bottom w:w="100" w:type="dxa"/>
              <w:right w:w="100" w:type="dxa"/>
            </w:tcMar>
          </w:tcPr>
          <w:p w14:paraId="0E0DFB7C" w14:textId="77777777" w:rsidR="004F5567" w:rsidRDefault="00752DB4" w:rsidP="00B555D4">
            <w:pPr>
              <w:pStyle w:val="TableCellHeading"/>
            </w:pPr>
            <w:r>
              <w:t xml:space="preserve">Maximum </w:t>
            </w:r>
            <w:r w:rsidR="00173621">
              <w:t>j</w:t>
            </w:r>
            <w:r>
              <w:t xml:space="preserve">ump </w:t>
            </w:r>
            <w:r w:rsidR="00173621">
              <w:t>d</w:t>
            </w:r>
            <w:r>
              <w:t>istance (km)</w:t>
            </w:r>
          </w:p>
        </w:tc>
        <w:tc>
          <w:tcPr>
            <w:tcW w:w="2340" w:type="dxa"/>
            <w:tcBorders>
              <w:top w:val="single" w:sz="4" w:space="0" w:color="auto"/>
              <w:bottom w:val="single" w:sz="4" w:space="0" w:color="auto"/>
            </w:tcBorders>
            <w:tcMar>
              <w:top w:w="100" w:type="dxa"/>
              <w:left w:w="100" w:type="dxa"/>
              <w:bottom w:w="100" w:type="dxa"/>
              <w:right w:w="100" w:type="dxa"/>
            </w:tcMar>
          </w:tcPr>
          <w:p w14:paraId="49756E9B" w14:textId="77777777" w:rsidR="004F5567" w:rsidRDefault="00752DB4" w:rsidP="00B555D4">
            <w:pPr>
              <w:pStyle w:val="TableCellHeading"/>
            </w:pPr>
            <w:r>
              <w:t xml:space="preserve">Number of </w:t>
            </w:r>
            <w:r w:rsidR="00173621">
              <w:t>r</w:t>
            </w:r>
            <w:r>
              <w:t>uptures</w:t>
            </w:r>
          </w:p>
        </w:tc>
        <w:tc>
          <w:tcPr>
            <w:tcW w:w="2340" w:type="dxa"/>
            <w:tcBorders>
              <w:top w:val="single" w:sz="4" w:space="0" w:color="auto"/>
              <w:bottom w:val="single" w:sz="4" w:space="0" w:color="auto"/>
            </w:tcBorders>
            <w:tcMar>
              <w:top w:w="100" w:type="dxa"/>
              <w:left w:w="100" w:type="dxa"/>
              <w:bottom w:w="100" w:type="dxa"/>
              <w:right w:w="100" w:type="dxa"/>
            </w:tcMar>
          </w:tcPr>
          <w:p w14:paraId="392110BE" w14:textId="7F16381E" w:rsidR="004F5567" w:rsidRDefault="00752DB4" w:rsidP="00B555D4">
            <w:pPr>
              <w:pStyle w:val="TableCellHeading"/>
            </w:pPr>
            <w:r>
              <w:t>Number of</w:t>
            </w:r>
            <w:r w:rsidR="00032F21">
              <w:t xml:space="preserve"> </w:t>
            </w:r>
            <w:r w:rsidR="00173621">
              <w:t>j</w:t>
            </w:r>
            <w:r>
              <w:t xml:space="preserve">unctions </w:t>
            </w:r>
            <w:r w:rsidR="00173621">
              <w:t>i</w:t>
            </w:r>
            <w:r>
              <w:t>ncluded</w:t>
            </w:r>
          </w:p>
        </w:tc>
        <w:tc>
          <w:tcPr>
            <w:tcW w:w="2340" w:type="dxa"/>
            <w:tcBorders>
              <w:top w:val="single" w:sz="4" w:space="0" w:color="auto"/>
              <w:bottom w:val="single" w:sz="4" w:space="0" w:color="auto"/>
            </w:tcBorders>
            <w:tcMar>
              <w:top w:w="100" w:type="dxa"/>
              <w:left w:w="100" w:type="dxa"/>
              <w:bottom w:w="100" w:type="dxa"/>
              <w:right w:w="100" w:type="dxa"/>
            </w:tcMar>
          </w:tcPr>
          <w:p w14:paraId="448C1A19" w14:textId="77777777" w:rsidR="004F5567" w:rsidRDefault="00752DB4" w:rsidP="00B555D4">
            <w:pPr>
              <w:pStyle w:val="TableCellHeading"/>
            </w:pPr>
            <w:r>
              <w:t xml:space="preserve">Number of </w:t>
            </w:r>
            <w:r w:rsidR="00173621">
              <w:t>p</w:t>
            </w:r>
            <w:r>
              <w:t xml:space="preserve">ossible </w:t>
            </w:r>
            <w:r w:rsidR="00173621">
              <w:t>j</w:t>
            </w:r>
            <w:r>
              <w:t>unctions</w:t>
            </w:r>
          </w:p>
        </w:tc>
      </w:tr>
      <w:tr w:rsidR="004F5567" w14:paraId="322B2DD5" w14:textId="77777777" w:rsidTr="00B555D4">
        <w:tc>
          <w:tcPr>
            <w:tcW w:w="2340" w:type="dxa"/>
            <w:tcBorders>
              <w:top w:val="single" w:sz="4" w:space="0" w:color="auto"/>
            </w:tcBorders>
            <w:tcMar>
              <w:top w:w="100" w:type="dxa"/>
              <w:left w:w="100" w:type="dxa"/>
              <w:bottom w:w="100" w:type="dxa"/>
              <w:right w:w="100" w:type="dxa"/>
            </w:tcMar>
          </w:tcPr>
          <w:p w14:paraId="0B4DB030" w14:textId="77777777" w:rsidR="004F5567" w:rsidRDefault="00752DB4" w:rsidP="00B555D4">
            <w:pPr>
              <w:pStyle w:val="TableCellBody"/>
              <w:jc w:val="center"/>
            </w:pPr>
            <w:r>
              <w:t>5</w:t>
            </w:r>
          </w:p>
        </w:tc>
        <w:tc>
          <w:tcPr>
            <w:tcW w:w="2340" w:type="dxa"/>
            <w:tcBorders>
              <w:top w:val="single" w:sz="4" w:space="0" w:color="auto"/>
            </w:tcBorders>
            <w:tcMar>
              <w:top w:w="100" w:type="dxa"/>
              <w:left w:w="100" w:type="dxa"/>
              <w:bottom w:w="100" w:type="dxa"/>
              <w:right w:w="100" w:type="dxa"/>
            </w:tcMar>
          </w:tcPr>
          <w:p w14:paraId="3E6CEA31" w14:textId="77777777" w:rsidR="004F5567" w:rsidRDefault="00752DB4" w:rsidP="00B555D4">
            <w:pPr>
              <w:pStyle w:val="TableCellBody"/>
              <w:jc w:val="center"/>
            </w:pPr>
            <w:r>
              <w:t>253,706</w:t>
            </w:r>
          </w:p>
        </w:tc>
        <w:tc>
          <w:tcPr>
            <w:tcW w:w="2340" w:type="dxa"/>
            <w:tcBorders>
              <w:top w:val="single" w:sz="4" w:space="0" w:color="auto"/>
            </w:tcBorders>
            <w:tcMar>
              <w:top w:w="100" w:type="dxa"/>
              <w:left w:w="100" w:type="dxa"/>
              <w:bottom w:w="100" w:type="dxa"/>
              <w:right w:w="100" w:type="dxa"/>
            </w:tcMar>
          </w:tcPr>
          <w:p w14:paraId="736141F3" w14:textId="77777777" w:rsidR="004F5567" w:rsidRDefault="00752DB4" w:rsidP="00B555D4">
            <w:pPr>
              <w:pStyle w:val="TableCellBody"/>
              <w:jc w:val="center"/>
            </w:pPr>
            <w:r>
              <w:t>369</w:t>
            </w:r>
          </w:p>
        </w:tc>
        <w:tc>
          <w:tcPr>
            <w:tcW w:w="2340" w:type="dxa"/>
            <w:tcBorders>
              <w:top w:val="single" w:sz="4" w:space="0" w:color="auto"/>
            </w:tcBorders>
            <w:tcMar>
              <w:top w:w="100" w:type="dxa"/>
              <w:left w:w="100" w:type="dxa"/>
              <w:bottom w:w="100" w:type="dxa"/>
              <w:right w:w="100" w:type="dxa"/>
            </w:tcMar>
          </w:tcPr>
          <w:p w14:paraId="752BF38C" w14:textId="77777777" w:rsidR="004F5567" w:rsidRDefault="00752DB4" w:rsidP="00B555D4">
            <w:pPr>
              <w:pStyle w:val="TableCellBody"/>
              <w:jc w:val="center"/>
            </w:pPr>
            <w:r>
              <w:t>560</w:t>
            </w:r>
          </w:p>
        </w:tc>
      </w:tr>
      <w:tr w:rsidR="004F5567" w14:paraId="35950452" w14:textId="77777777" w:rsidTr="00B555D4">
        <w:tc>
          <w:tcPr>
            <w:tcW w:w="2340" w:type="dxa"/>
            <w:tcMar>
              <w:top w:w="100" w:type="dxa"/>
              <w:left w:w="100" w:type="dxa"/>
              <w:bottom w:w="100" w:type="dxa"/>
              <w:right w:w="100" w:type="dxa"/>
            </w:tcMar>
          </w:tcPr>
          <w:p w14:paraId="3D8A147A" w14:textId="77777777" w:rsidR="004F5567" w:rsidRDefault="00752DB4" w:rsidP="00B555D4">
            <w:pPr>
              <w:pStyle w:val="TableCellBody"/>
              <w:jc w:val="center"/>
            </w:pPr>
            <w:r>
              <w:t>3</w:t>
            </w:r>
          </w:p>
        </w:tc>
        <w:tc>
          <w:tcPr>
            <w:tcW w:w="2340" w:type="dxa"/>
            <w:tcMar>
              <w:top w:w="100" w:type="dxa"/>
              <w:left w:w="100" w:type="dxa"/>
              <w:bottom w:w="100" w:type="dxa"/>
              <w:right w:w="100" w:type="dxa"/>
            </w:tcMar>
          </w:tcPr>
          <w:p w14:paraId="75406CD3" w14:textId="77777777" w:rsidR="004F5567" w:rsidRDefault="00752DB4" w:rsidP="00B555D4">
            <w:pPr>
              <w:pStyle w:val="TableCellBody"/>
              <w:jc w:val="center"/>
            </w:pPr>
            <w:r>
              <w:t>263,880</w:t>
            </w:r>
            <w:r w:rsidR="00D25D00">
              <w:t>*</w:t>
            </w:r>
          </w:p>
        </w:tc>
        <w:tc>
          <w:tcPr>
            <w:tcW w:w="2340" w:type="dxa"/>
            <w:tcMar>
              <w:top w:w="100" w:type="dxa"/>
              <w:left w:w="100" w:type="dxa"/>
              <w:bottom w:w="100" w:type="dxa"/>
              <w:right w:w="100" w:type="dxa"/>
            </w:tcMar>
          </w:tcPr>
          <w:p w14:paraId="439BD90E" w14:textId="77777777" w:rsidR="004F5567" w:rsidRDefault="00752DB4" w:rsidP="00B555D4">
            <w:pPr>
              <w:pStyle w:val="TableCellBody"/>
              <w:jc w:val="center"/>
            </w:pPr>
            <w:r>
              <w:t>334</w:t>
            </w:r>
          </w:p>
        </w:tc>
        <w:tc>
          <w:tcPr>
            <w:tcW w:w="2340" w:type="dxa"/>
            <w:tcMar>
              <w:top w:w="100" w:type="dxa"/>
              <w:left w:w="100" w:type="dxa"/>
              <w:bottom w:w="100" w:type="dxa"/>
              <w:right w:w="100" w:type="dxa"/>
            </w:tcMar>
          </w:tcPr>
          <w:p w14:paraId="4CE2D869" w14:textId="77777777" w:rsidR="004F5567" w:rsidRDefault="00752DB4" w:rsidP="00B555D4">
            <w:pPr>
              <w:pStyle w:val="TableCellBody"/>
              <w:jc w:val="center"/>
            </w:pPr>
            <w:r>
              <w:t>459</w:t>
            </w:r>
          </w:p>
        </w:tc>
      </w:tr>
      <w:tr w:rsidR="004F5567" w14:paraId="705F405F" w14:textId="77777777" w:rsidTr="00B555D4">
        <w:tc>
          <w:tcPr>
            <w:tcW w:w="2340" w:type="dxa"/>
            <w:tcMar>
              <w:top w:w="100" w:type="dxa"/>
              <w:left w:w="100" w:type="dxa"/>
              <w:bottom w:w="100" w:type="dxa"/>
              <w:right w:w="100" w:type="dxa"/>
            </w:tcMar>
          </w:tcPr>
          <w:p w14:paraId="30D37EE7" w14:textId="77777777" w:rsidR="004F5567" w:rsidRDefault="00752DB4" w:rsidP="00B555D4">
            <w:pPr>
              <w:pStyle w:val="TableCellBody"/>
              <w:jc w:val="center"/>
            </w:pPr>
            <w:r>
              <w:lastRenderedPageBreak/>
              <w:t>1</w:t>
            </w:r>
          </w:p>
        </w:tc>
        <w:tc>
          <w:tcPr>
            <w:tcW w:w="2340" w:type="dxa"/>
            <w:tcMar>
              <w:top w:w="100" w:type="dxa"/>
              <w:left w:w="100" w:type="dxa"/>
              <w:bottom w:w="100" w:type="dxa"/>
              <w:right w:w="100" w:type="dxa"/>
            </w:tcMar>
          </w:tcPr>
          <w:p w14:paraId="3CB837D7" w14:textId="77777777" w:rsidR="004F5567" w:rsidRDefault="00752DB4" w:rsidP="00B555D4">
            <w:pPr>
              <w:pStyle w:val="TableCellBody"/>
              <w:jc w:val="center"/>
            </w:pPr>
            <w:r>
              <w:t>171,404</w:t>
            </w:r>
          </w:p>
        </w:tc>
        <w:tc>
          <w:tcPr>
            <w:tcW w:w="2340" w:type="dxa"/>
            <w:tcMar>
              <w:top w:w="100" w:type="dxa"/>
              <w:left w:w="100" w:type="dxa"/>
              <w:bottom w:w="100" w:type="dxa"/>
              <w:right w:w="100" w:type="dxa"/>
            </w:tcMar>
          </w:tcPr>
          <w:p w14:paraId="0242F75F" w14:textId="77777777" w:rsidR="004F5567" w:rsidRDefault="00752DB4" w:rsidP="00B555D4">
            <w:pPr>
              <w:pStyle w:val="TableCellBody"/>
              <w:jc w:val="center"/>
            </w:pPr>
            <w:r>
              <w:t>261</w:t>
            </w:r>
          </w:p>
        </w:tc>
        <w:tc>
          <w:tcPr>
            <w:tcW w:w="2340" w:type="dxa"/>
            <w:tcMar>
              <w:top w:w="100" w:type="dxa"/>
              <w:left w:w="100" w:type="dxa"/>
              <w:bottom w:w="100" w:type="dxa"/>
              <w:right w:w="100" w:type="dxa"/>
            </w:tcMar>
          </w:tcPr>
          <w:p w14:paraId="5E1896D5" w14:textId="77777777" w:rsidR="004F5567" w:rsidRDefault="00752DB4" w:rsidP="00B555D4">
            <w:pPr>
              <w:pStyle w:val="TableCellBody"/>
              <w:jc w:val="center"/>
            </w:pPr>
            <w:r>
              <w:t>321</w:t>
            </w:r>
          </w:p>
        </w:tc>
      </w:tr>
      <w:tr w:rsidR="004F5567" w14:paraId="79FAF7E3" w14:textId="77777777" w:rsidTr="00B555D4">
        <w:tc>
          <w:tcPr>
            <w:tcW w:w="2340" w:type="dxa"/>
            <w:tcMar>
              <w:top w:w="100" w:type="dxa"/>
              <w:left w:w="100" w:type="dxa"/>
              <w:bottom w:w="100" w:type="dxa"/>
              <w:right w:w="100" w:type="dxa"/>
            </w:tcMar>
          </w:tcPr>
          <w:p w14:paraId="113568F0" w14:textId="77777777" w:rsidR="004F5567" w:rsidRDefault="00752DB4" w:rsidP="00B555D4">
            <w:pPr>
              <w:pStyle w:val="TableCellBody"/>
              <w:jc w:val="center"/>
            </w:pPr>
            <w:r>
              <w:t>0.1</w:t>
            </w:r>
          </w:p>
        </w:tc>
        <w:tc>
          <w:tcPr>
            <w:tcW w:w="2340" w:type="dxa"/>
            <w:tcMar>
              <w:top w:w="100" w:type="dxa"/>
              <w:left w:w="100" w:type="dxa"/>
              <w:bottom w:w="100" w:type="dxa"/>
              <w:right w:w="100" w:type="dxa"/>
            </w:tcMar>
          </w:tcPr>
          <w:p w14:paraId="49076C5E" w14:textId="77777777" w:rsidR="004F5567" w:rsidRDefault="00752DB4" w:rsidP="00B555D4">
            <w:pPr>
              <w:pStyle w:val="TableCellBody"/>
              <w:jc w:val="center"/>
            </w:pPr>
            <w:r>
              <w:t>38,408</w:t>
            </w:r>
          </w:p>
        </w:tc>
        <w:tc>
          <w:tcPr>
            <w:tcW w:w="2340" w:type="dxa"/>
            <w:tcMar>
              <w:top w:w="100" w:type="dxa"/>
              <w:left w:w="100" w:type="dxa"/>
              <w:bottom w:w="100" w:type="dxa"/>
              <w:right w:w="100" w:type="dxa"/>
            </w:tcMar>
          </w:tcPr>
          <w:p w14:paraId="3CD5404B" w14:textId="77777777" w:rsidR="004F5567" w:rsidRDefault="00752DB4" w:rsidP="00B555D4">
            <w:pPr>
              <w:pStyle w:val="TableCellBody"/>
              <w:jc w:val="center"/>
            </w:pPr>
            <w:r>
              <w:t>76</w:t>
            </w:r>
          </w:p>
        </w:tc>
        <w:tc>
          <w:tcPr>
            <w:tcW w:w="2340" w:type="dxa"/>
            <w:tcMar>
              <w:top w:w="100" w:type="dxa"/>
              <w:left w:w="100" w:type="dxa"/>
              <w:bottom w:w="100" w:type="dxa"/>
              <w:right w:w="100" w:type="dxa"/>
            </w:tcMar>
          </w:tcPr>
          <w:p w14:paraId="5C105789" w14:textId="77777777" w:rsidR="004F5567" w:rsidRDefault="00752DB4" w:rsidP="00B555D4">
            <w:pPr>
              <w:pStyle w:val="TableCellBody"/>
              <w:jc w:val="center"/>
            </w:pPr>
            <w:r>
              <w:t>84</w:t>
            </w:r>
          </w:p>
        </w:tc>
      </w:tr>
      <w:tr w:rsidR="004F5567" w14:paraId="1C643A87" w14:textId="77777777" w:rsidTr="00B555D4">
        <w:tc>
          <w:tcPr>
            <w:tcW w:w="2340" w:type="dxa"/>
            <w:tcBorders>
              <w:bottom w:val="single" w:sz="4" w:space="0" w:color="auto"/>
            </w:tcBorders>
            <w:tcMar>
              <w:top w:w="100" w:type="dxa"/>
              <w:left w:w="100" w:type="dxa"/>
              <w:bottom w:w="100" w:type="dxa"/>
              <w:right w:w="100" w:type="dxa"/>
            </w:tcMar>
          </w:tcPr>
          <w:p w14:paraId="2C04A67E" w14:textId="77777777" w:rsidR="004F5567" w:rsidRDefault="00752DB4" w:rsidP="00B555D4">
            <w:pPr>
              <w:pStyle w:val="TableCellBody"/>
              <w:jc w:val="center"/>
            </w:pPr>
            <w:r>
              <w:t>0</w:t>
            </w:r>
          </w:p>
        </w:tc>
        <w:tc>
          <w:tcPr>
            <w:tcW w:w="2340" w:type="dxa"/>
            <w:tcBorders>
              <w:bottom w:val="single" w:sz="4" w:space="0" w:color="auto"/>
            </w:tcBorders>
            <w:tcMar>
              <w:top w:w="100" w:type="dxa"/>
              <w:left w:w="100" w:type="dxa"/>
              <w:bottom w:w="100" w:type="dxa"/>
              <w:right w:w="100" w:type="dxa"/>
            </w:tcMar>
          </w:tcPr>
          <w:p w14:paraId="49740052" w14:textId="77777777" w:rsidR="004F5567" w:rsidRDefault="00752DB4" w:rsidP="00B555D4">
            <w:pPr>
              <w:pStyle w:val="TableCellBody"/>
              <w:jc w:val="center"/>
            </w:pPr>
            <w:r>
              <w:t>26,021</w:t>
            </w:r>
          </w:p>
        </w:tc>
        <w:tc>
          <w:tcPr>
            <w:tcW w:w="2340" w:type="dxa"/>
            <w:tcBorders>
              <w:bottom w:val="single" w:sz="4" w:space="0" w:color="auto"/>
            </w:tcBorders>
            <w:tcMar>
              <w:top w:w="100" w:type="dxa"/>
              <w:left w:w="100" w:type="dxa"/>
              <w:bottom w:w="100" w:type="dxa"/>
              <w:right w:w="100" w:type="dxa"/>
            </w:tcMar>
          </w:tcPr>
          <w:p w14:paraId="023D2DBF" w14:textId="77777777" w:rsidR="004F5567" w:rsidRDefault="00752DB4" w:rsidP="00B555D4">
            <w:pPr>
              <w:pStyle w:val="TableCellBody"/>
              <w:jc w:val="center"/>
            </w:pPr>
            <w:r>
              <w:t>46</w:t>
            </w:r>
          </w:p>
        </w:tc>
        <w:tc>
          <w:tcPr>
            <w:tcW w:w="2340" w:type="dxa"/>
            <w:tcBorders>
              <w:bottom w:val="single" w:sz="4" w:space="0" w:color="auto"/>
            </w:tcBorders>
            <w:tcMar>
              <w:top w:w="100" w:type="dxa"/>
              <w:left w:w="100" w:type="dxa"/>
              <w:bottom w:w="100" w:type="dxa"/>
              <w:right w:w="100" w:type="dxa"/>
            </w:tcMar>
          </w:tcPr>
          <w:p w14:paraId="0010B7B5" w14:textId="77777777" w:rsidR="004F5567" w:rsidRDefault="00752DB4" w:rsidP="00B555D4">
            <w:pPr>
              <w:pStyle w:val="TableCellBody"/>
              <w:jc w:val="center"/>
            </w:pPr>
            <w:r>
              <w:t>48</w:t>
            </w:r>
          </w:p>
        </w:tc>
      </w:tr>
    </w:tbl>
    <w:p w14:paraId="6C77FFEA" w14:textId="77777777" w:rsidR="00173621" w:rsidRDefault="00752DB4" w:rsidP="00173621">
      <w:pPr>
        <w:pStyle w:val="Heading1"/>
      </w:pPr>
      <w:r w:rsidRPr="00173621">
        <w:t>Junction Azimuth Change</w:t>
      </w:r>
    </w:p>
    <w:p w14:paraId="52A1A167" w14:textId="77777777" w:rsidR="004F5567" w:rsidRDefault="00167305" w:rsidP="00173621">
      <w:pPr>
        <w:pStyle w:val="BodyText"/>
      </w:pPr>
      <w:r>
        <w:t xml:space="preserve">The junction azimuth change </w:t>
      </w:r>
      <w:r w:rsidR="00752DB4">
        <w:t>criteri</w:t>
      </w:r>
      <w:r w:rsidR="0088025B">
        <w:t>on</w:t>
      </w:r>
      <w:r w:rsidR="00752DB4">
        <w:t xml:space="preserve"> specifies the maximum azimuth change at any jump between different fault sections as defined in the UCERF3 </w:t>
      </w:r>
      <w:r w:rsidR="00766365">
        <w:t xml:space="preserve">California Reference </w:t>
      </w:r>
      <w:r w:rsidR="00752DB4">
        <w:t xml:space="preserve">Fault </w:t>
      </w:r>
      <w:r w:rsidR="00766365">
        <w:t xml:space="preserve">Parameter </w:t>
      </w:r>
      <w:r w:rsidR="00752DB4">
        <w:t xml:space="preserve">Database (henceforward referred to as a junction), regardless of the jump distance. Our value of </w:t>
      </w:r>
      <w:r w:rsidR="002B5868">
        <w:t xml:space="preserve">60 </w:t>
      </w:r>
      <w:r w:rsidR="00752DB4">
        <w:t xml:space="preserve">degrees prevents large changes in rupture strike, such as right angles or U-turns, while allowing ruptures similar to the 2002 Denali earthquake. </w:t>
      </w:r>
      <w:r w:rsidR="002B5868">
        <w:t xml:space="preserve">Although </w:t>
      </w:r>
      <w:r w:rsidR="00752DB4">
        <w:t xml:space="preserve">studies such as </w:t>
      </w:r>
      <w:proofErr w:type="spellStart"/>
      <w:r w:rsidR="00752DB4" w:rsidRPr="007E6D83">
        <w:t>Xu</w:t>
      </w:r>
      <w:proofErr w:type="spellEnd"/>
      <w:r w:rsidR="00752DB4" w:rsidRPr="007E6D83">
        <w:t xml:space="preserve"> and Ben-Zion </w:t>
      </w:r>
      <w:r w:rsidR="00752DB4">
        <w:t xml:space="preserve">(2013) </w:t>
      </w:r>
      <w:r w:rsidR="002B5868">
        <w:t>show</w:t>
      </w:r>
      <w:r w:rsidR="008F57A3">
        <w:t>ed</w:t>
      </w:r>
      <w:r w:rsidR="002B5868">
        <w:t xml:space="preserve"> </w:t>
      </w:r>
      <w:r w:rsidR="00752DB4">
        <w:t xml:space="preserve">that rupture branching at angles </w:t>
      </w:r>
      <w:r w:rsidR="002B5868">
        <w:t xml:space="preserve">greater than 60 </w:t>
      </w:r>
      <w:r w:rsidR="00752DB4">
        <w:t xml:space="preserve">degrees are possible, we </w:t>
      </w:r>
      <w:r w:rsidR="00596004">
        <w:t>determine</w:t>
      </w:r>
      <w:r w:rsidR="008F57A3">
        <w:t>d</w:t>
      </w:r>
      <w:r w:rsidR="00596004">
        <w:t xml:space="preserve"> </w:t>
      </w:r>
      <w:r w:rsidR="00752DB4">
        <w:t xml:space="preserve">that increasing the threshold ultimately allows more implausible than plausible ruptures and </w:t>
      </w:r>
      <w:r w:rsidR="00596004">
        <w:t xml:space="preserve">that </w:t>
      </w:r>
      <w:r w:rsidR="00752DB4">
        <w:t xml:space="preserve">our current value is an adequate approximation. Azimuth changes are calculated for this and other criteria by </w:t>
      </w:r>
      <w:r w:rsidR="00596004">
        <w:t xml:space="preserve">determining </w:t>
      </w:r>
      <w:r w:rsidR="00752DB4">
        <w:t>the azimuth between the midpoints of the two sections immediately preceding the jump, and comparing it to the azimuth between the midpoints of the two sections immediately following the jump (</w:t>
      </w:r>
      <w:r w:rsidR="00766365">
        <w:t>fig</w:t>
      </w:r>
      <w:r w:rsidR="007E6D83">
        <w:t>.</w:t>
      </w:r>
      <w:r w:rsidR="00766365">
        <w:t xml:space="preserve"> </w:t>
      </w:r>
      <w:r w:rsidR="002857B7">
        <w:t>T</w:t>
      </w:r>
      <w:r w:rsidR="00752DB4">
        <w:t>1).</w:t>
      </w:r>
    </w:p>
    <w:p w14:paraId="1DB9CDC1" w14:textId="77777777" w:rsidR="004F5567" w:rsidRDefault="00596004" w:rsidP="00AD1FEB">
      <w:pPr>
        <w:pStyle w:val="BodyText"/>
      </w:pPr>
      <w:r>
        <w:t>A</w:t>
      </w:r>
      <w:r w:rsidR="00752DB4">
        <w:t xml:space="preserve"> special case </w:t>
      </w:r>
      <w:r>
        <w:t xml:space="preserve">is applied </w:t>
      </w:r>
      <w:r w:rsidR="00752DB4">
        <w:t>for junctions involving certain left</w:t>
      </w:r>
      <w:r w:rsidR="00720E9C">
        <w:t>-</w:t>
      </w:r>
      <w:r w:rsidR="00752DB4">
        <w:t>lateral faults, for which we reverse</w:t>
      </w:r>
      <w:r w:rsidR="000E024E">
        <w:t>d</w:t>
      </w:r>
      <w:r w:rsidR="00752DB4">
        <w:t xml:space="preserve"> the azimuth of the left-lateral fault to allow, for example, the </w:t>
      </w:r>
      <w:proofErr w:type="spellStart"/>
      <w:r w:rsidR="00752DB4">
        <w:t>Garlock</w:t>
      </w:r>
      <w:proofErr w:type="spellEnd"/>
      <w:r w:rsidR="00752DB4">
        <w:t xml:space="preserve"> Fault to rupture southward with the Mojave section of the San Andreas Fault (and excluding rupture to the north with the Carrizo section). This results in azimuth changes rang</w:t>
      </w:r>
      <w:r w:rsidR="001D4B53">
        <w:t>ing from</w:t>
      </w:r>
      <w:r w:rsidR="00752DB4">
        <w:t>120</w:t>
      </w:r>
      <w:r w:rsidR="001D4B53">
        <w:t xml:space="preserve"> to</w:t>
      </w:r>
      <w:r w:rsidR="00752DB4">
        <w:t xml:space="preserve"> 180</w:t>
      </w:r>
      <w:r w:rsidR="001D4B53">
        <w:t xml:space="preserve"> degrees</w:t>
      </w:r>
      <w:r w:rsidR="00752DB4">
        <w:t xml:space="preserve"> and -120</w:t>
      </w:r>
      <w:r w:rsidR="001D4B53">
        <w:t xml:space="preserve"> to</w:t>
      </w:r>
      <w:r w:rsidR="00752DB4">
        <w:t xml:space="preserve"> -180 degrees (and excludes the normally allowed ranges of 0</w:t>
      </w:r>
      <w:r w:rsidR="001D4B53">
        <w:t>–</w:t>
      </w:r>
      <w:r w:rsidR="00752DB4">
        <w:t xml:space="preserve">60 </w:t>
      </w:r>
      <w:r w:rsidR="001D4B53">
        <w:t xml:space="preserve">degrees </w:t>
      </w:r>
      <w:r w:rsidR="00752DB4">
        <w:t>and -60</w:t>
      </w:r>
      <w:r w:rsidR="001D4B53">
        <w:t>–</w:t>
      </w:r>
      <w:r w:rsidR="00752DB4">
        <w:t xml:space="preserve">0 degrees) between left-lateral and non-left-lateral faults. Junctions between two left-lateral faults are required to conform to our regular azimuth change rules. These ruptures, </w:t>
      </w:r>
      <w:r w:rsidR="00675989">
        <w:t>al</w:t>
      </w:r>
      <w:r w:rsidR="007E6D83">
        <w:t xml:space="preserve">though </w:t>
      </w:r>
      <w:r w:rsidR="00752DB4">
        <w:t>technically an azimuth change greater than 90</w:t>
      </w:r>
      <w:r w:rsidR="007E6D83">
        <w:t xml:space="preserve"> </w:t>
      </w:r>
      <w:r w:rsidR="00752DB4">
        <w:t>degrees, are preferred for left-lateral faults linking with right-</w:t>
      </w:r>
      <w:r w:rsidR="00752DB4">
        <w:lastRenderedPageBreak/>
        <w:t>lateral faults by both Coulomb model</w:t>
      </w:r>
      <w:r w:rsidR="001D4B53">
        <w:t xml:space="preserve"> simulation</w:t>
      </w:r>
      <w:r w:rsidR="00752DB4">
        <w:t xml:space="preserve"> and earthquake simulators (</w:t>
      </w:r>
      <w:r w:rsidR="004E3512" w:rsidRPr="007E6D83">
        <w:t>Richards</w:t>
      </w:r>
      <w:r w:rsidR="004678EC">
        <w:t>-</w:t>
      </w:r>
      <w:r w:rsidR="00752DB4" w:rsidRPr="007E6D83">
        <w:t xml:space="preserve">Dinger and </w:t>
      </w:r>
      <w:proofErr w:type="spellStart"/>
      <w:r w:rsidR="00752DB4" w:rsidRPr="007E6D83">
        <w:t>Dieterich</w:t>
      </w:r>
      <w:proofErr w:type="spellEnd"/>
      <w:r w:rsidR="00752DB4">
        <w:t>, 2012).</w:t>
      </w:r>
    </w:p>
    <w:p w14:paraId="7C1716B6" w14:textId="77777777" w:rsidR="004F5567" w:rsidRDefault="004F5567"/>
    <w:p w14:paraId="1CCF4DC3" w14:textId="77777777" w:rsidR="004F5567" w:rsidRDefault="00752DB4">
      <w:pPr>
        <w:jc w:val="center"/>
      </w:pPr>
      <w:r>
        <w:rPr>
          <w:noProof/>
        </w:rPr>
        <w:drawing>
          <wp:inline distT="0" distB="0" distL="0" distR="0" wp14:anchorId="39E56708" wp14:editId="29EE5192">
            <wp:extent cx="5829300" cy="3400425"/>
            <wp:effectExtent l="25400" t="25400" r="38100" b="28575"/>
            <wp:docPr id="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tretch>
                      <a:fillRect/>
                    </a:stretch>
                  </pic:blipFill>
                  <pic:spPr>
                    <a:xfrm>
                      <a:off x="0" y="0"/>
                      <a:ext cx="5829300" cy="3400425"/>
                    </a:xfrm>
                    <a:prstGeom prst="rect">
                      <a:avLst/>
                    </a:prstGeom>
                    <a:ln>
                      <a:solidFill>
                        <a:schemeClr val="tx1"/>
                      </a:solidFill>
                    </a:ln>
                  </pic:spPr>
                </pic:pic>
              </a:graphicData>
            </a:graphic>
          </wp:inline>
        </w:drawing>
      </w:r>
    </w:p>
    <w:p w14:paraId="57E6FF3D" w14:textId="36BC13F3" w:rsidR="004F5567" w:rsidRDefault="00596004" w:rsidP="00D01D58">
      <w:pPr>
        <w:pStyle w:val="FigureCaption"/>
      </w:pPr>
      <w:r>
        <w:t>Diagram showing azimuth change calculation metho</w:t>
      </w:r>
      <w:r w:rsidR="00B555D4">
        <w:t>do</w:t>
      </w:r>
      <w:r>
        <w:t xml:space="preserve">logy. </w:t>
      </w:r>
      <w:r w:rsidR="00752DB4">
        <w:t xml:space="preserve">Azimuth changes are calculated by taking the azimuth between the midpoints of the two </w:t>
      </w:r>
      <w:r w:rsidR="001D4B53">
        <w:t>sub</w:t>
      </w:r>
      <w:r w:rsidR="00752DB4">
        <w:t>sections immediately preceding and following the jump.</w:t>
      </w:r>
    </w:p>
    <w:p w14:paraId="53DAB95A" w14:textId="77777777" w:rsidR="004F5567" w:rsidRDefault="004F5567"/>
    <w:p w14:paraId="090584A5" w14:textId="77777777" w:rsidR="004F5567" w:rsidRDefault="00752DB4" w:rsidP="00AD1FEB">
      <w:pPr>
        <w:pStyle w:val="Heading1"/>
      </w:pPr>
      <w:r>
        <w:t>Total Azimuth Change</w:t>
      </w:r>
    </w:p>
    <w:p w14:paraId="33BE6457" w14:textId="77777777" w:rsidR="004F5567" w:rsidRDefault="00167305" w:rsidP="008B6116">
      <w:pPr>
        <w:pStyle w:val="BodyText"/>
      </w:pPr>
      <w:r>
        <w:t xml:space="preserve">The total </w:t>
      </w:r>
      <w:proofErr w:type="spellStart"/>
      <w:r>
        <w:t>azmuth</w:t>
      </w:r>
      <w:proofErr w:type="spellEnd"/>
      <w:r>
        <w:t xml:space="preserve"> change </w:t>
      </w:r>
      <w:r w:rsidR="0088025B">
        <w:t>criterion</w:t>
      </w:r>
      <w:r w:rsidR="00752DB4">
        <w:t xml:space="preserve"> specifies the maximum azimuth change between the start and end of the rupture. This prevents ruptures from forming circles or </w:t>
      </w:r>
      <w:r w:rsidR="00AA2F4A">
        <w:t>direction reversal</w:t>
      </w:r>
      <w:r w:rsidR="00752DB4">
        <w:t xml:space="preserve"> where each individual junction still passes the junction azimuth change filter. If either the first or last sections of the rupture </w:t>
      </w:r>
      <w:r w:rsidR="004E3512">
        <w:t>are left</w:t>
      </w:r>
      <w:r w:rsidR="00C67BB4">
        <w:t>-</w:t>
      </w:r>
      <w:r w:rsidR="004E3512">
        <w:t>lateral, the azimuth</w:t>
      </w:r>
      <w:r w:rsidR="00752DB4">
        <w:t xml:space="preserve">s are reversed as described </w:t>
      </w:r>
      <w:r w:rsidR="00C67BB4">
        <w:t xml:space="preserve">in </w:t>
      </w:r>
      <w:r w:rsidR="00675989">
        <w:t>section,</w:t>
      </w:r>
      <w:r w:rsidR="00C67BB4">
        <w:t xml:space="preserve"> “Junction Azimuth Change</w:t>
      </w:r>
      <w:r w:rsidR="00675989">
        <w:t>.</w:t>
      </w:r>
      <w:r w:rsidR="000530D4">
        <w:t>”</w:t>
      </w:r>
      <w:r w:rsidR="00752DB4">
        <w:t xml:space="preserve"> This filter is only applied to ruptures with at least one junction.</w:t>
      </w:r>
    </w:p>
    <w:p w14:paraId="2A1C3280" w14:textId="77777777" w:rsidR="004F5567" w:rsidRDefault="004F5567"/>
    <w:p w14:paraId="16CA2AA0" w14:textId="77777777" w:rsidR="004F5567" w:rsidRDefault="00752DB4" w:rsidP="008B6116">
      <w:pPr>
        <w:pStyle w:val="Heading1"/>
      </w:pPr>
      <w:r>
        <w:t>Cumulative Azimuth Change</w:t>
      </w:r>
    </w:p>
    <w:p w14:paraId="64D1F299" w14:textId="77777777" w:rsidR="004F5567" w:rsidRDefault="00167305" w:rsidP="008B6116">
      <w:pPr>
        <w:pStyle w:val="BodyText"/>
      </w:pPr>
      <w:r>
        <w:t xml:space="preserve">The cumulative azimuth change </w:t>
      </w:r>
      <w:r w:rsidR="0088025B">
        <w:t>criterion</w:t>
      </w:r>
      <w:r w:rsidR="00752DB4">
        <w:t xml:space="preserve">, known colloquially as the “squirrelly-ness” filter, prevents ruptures that </w:t>
      </w:r>
      <w:r w:rsidR="00AA2F4A">
        <w:t xml:space="preserve">move </w:t>
      </w:r>
      <w:r w:rsidR="00752DB4">
        <w:t xml:space="preserve">back and forth many times by summing the absolute value of the azimuth change between each subsection in the rupture. This filter is needed in the UCERF3 fault </w:t>
      </w:r>
      <w:proofErr w:type="spellStart"/>
      <w:r w:rsidR="00752DB4">
        <w:t>modelsbecause</w:t>
      </w:r>
      <w:proofErr w:type="spellEnd"/>
      <w:r w:rsidR="00752DB4">
        <w:t xml:space="preserve"> of the high density of faults that could otherwise link in the Ventura and L</w:t>
      </w:r>
      <w:r w:rsidR="00C32AB8">
        <w:t xml:space="preserve">os </w:t>
      </w:r>
      <w:r w:rsidR="00752DB4">
        <w:t>A</w:t>
      </w:r>
      <w:r w:rsidR="00C32AB8">
        <w:t>ngeles</w:t>
      </w:r>
      <w:r w:rsidR="00752DB4">
        <w:t xml:space="preserve"> basins. An example of the type of rupture excluded by this filter is shown in </w:t>
      </w:r>
      <w:r w:rsidR="00766365">
        <w:t xml:space="preserve">figure </w:t>
      </w:r>
      <w:r w:rsidR="002857B7">
        <w:t>T</w:t>
      </w:r>
      <w:r w:rsidR="00752DB4">
        <w:t>2. Without this filter, the number of ruptures would reach hundreds of millions and the inversion would be computationally intractable. Increasing the maximum cumulative azimuth change significantly increases the number of ruptures; the current value of 560 degrees is set to keep the number of ruptures low while being high enough to allow near “wall-to-wall” San Andreas ruptures.</w:t>
      </w:r>
    </w:p>
    <w:p w14:paraId="4ABCA7D3" w14:textId="77777777" w:rsidR="00F7168E" w:rsidRDefault="00F7168E" w:rsidP="00F7168E">
      <w:pPr>
        <w:pStyle w:val="Heading1"/>
      </w:pPr>
      <w:r>
        <w:t>Cumulative Rake Change</w:t>
      </w:r>
    </w:p>
    <w:p w14:paraId="427F38C5" w14:textId="2FFAE9C1" w:rsidR="00F7168E" w:rsidRDefault="00F7168E" w:rsidP="00F7168E">
      <w:pPr>
        <w:pStyle w:val="BodyText"/>
      </w:pPr>
      <w:r>
        <w:t>The cumulative rake change criterion limits the sum of absolute values of rake changes within a rupture. This prevents many fault sections with different rakes from linking up in an individual rupture. The value of 180 degrees, for example, allows right-lateral faults to connect with left-lateral faults or normal faults to connect with reverse faults a single time in a given rupture. It disallows multiple, large rake changes, for example, right lateral—left lateral—right lateral. Rakes from the geologic deformation model are always used for filtration to maintain a consistent set of ruptures for each deformation model.</w:t>
      </w:r>
    </w:p>
    <w:p w14:paraId="6554B371" w14:textId="77777777" w:rsidR="004F5567" w:rsidRDefault="004F5567"/>
    <w:p w14:paraId="7D74EA69" w14:textId="77777777" w:rsidR="004F5567" w:rsidRDefault="00752DB4">
      <w:pPr>
        <w:jc w:val="center"/>
      </w:pPr>
      <w:r>
        <w:rPr>
          <w:noProof/>
        </w:rPr>
        <w:lastRenderedPageBreak/>
        <w:drawing>
          <wp:inline distT="0" distB="0" distL="0" distR="0" wp14:anchorId="2CF8D14E" wp14:editId="4729F03E">
            <wp:extent cx="5838825" cy="62103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tretch>
                      <a:fillRect/>
                    </a:stretch>
                  </pic:blipFill>
                  <pic:spPr>
                    <a:xfrm>
                      <a:off x="0" y="0"/>
                      <a:ext cx="5838825" cy="6210300"/>
                    </a:xfrm>
                    <a:prstGeom prst="rect">
                      <a:avLst/>
                    </a:prstGeom>
                  </pic:spPr>
                </pic:pic>
              </a:graphicData>
            </a:graphic>
          </wp:inline>
        </w:drawing>
      </w:r>
    </w:p>
    <w:p w14:paraId="0951C1B9" w14:textId="77777777" w:rsidR="004F5567" w:rsidRDefault="00766365" w:rsidP="00D01D58">
      <w:pPr>
        <w:pStyle w:val="FigureCaption"/>
      </w:pPr>
      <w:r>
        <w:t xml:space="preserve"> </w:t>
      </w:r>
      <w:r w:rsidR="00086A25">
        <w:t>Illustration showing an e</w:t>
      </w:r>
      <w:r w:rsidR="00752DB4">
        <w:t>xample rupture that is excluded by the cumulative azimuth change filter.</w:t>
      </w:r>
      <w:r w:rsidR="00B521F9">
        <w:t xml:space="preserve"> Each color represents a unique fault section.</w:t>
      </w:r>
    </w:p>
    <w:p w14:paraId="20818830" w14:textId="77777777" w:rsidR="004F5567" w:rsidRDefault="004F5567"/>
    <w:p w14:paraId="198C5FF7" w14:textId="77777777" w:rsidR="004F5567" w:rsidRDefault="004F5567"/>
    <w:p w14:paraId="394A4C31" w14:textId="77777777" w:rsidR="004F5567" w:rsidRDefault="004E3512" w:rsidP="00D23755">
      <w:pPr>
        <w:pStyle w:val="Heading1"/>
      </w:pPr>
      <w:r>
        <w:lastRenderedPageBreak/>
        <w:t>Minimum Number of S</w:t>
      </w:r>
      <w:r w:rsidR="00752DB4">
        <w:t xml:space="preserve">ubsections </w:t>
      </w:r>
      <w:r w:rsidR="00167305">
        <w:t>p</w:t>
      </w:r>
      <w:r w:rsidR="00752DB4">
        <w:t>er Fault</w:t>
      </w:r>
    </w:p>
    <w:p w14:paraId="7259B5E3" w14:textId="77777777" w:rsidR="004F5567" w:rsidRDefault="00086A25" w:rsidP="00D23755">
      <w:pPr>
        <w:pStyle w:val="BodyText"/>
      </w:pPr>
      <w:r>
        <w:t>A</w:t>
      </w:r>
      <w:r w:rsidR="00752DB4">
        <w:t xml:space="preserve">t least two subsections </w:t>
      </w:r>
      <w:r>
        <w:t xml:space="preserve">are required </w:t>
      </w:r>
      <w:r w:rsidR="00752DB4">
        <w:t xml:space="preserve">from each fault involved in a given rupture. This is required for our azimuth change filters, and </w:t>
      </w:r>
      <w:r w:rsidR="003762A3">
        <w:t xml:space="preserve">this requirement </w:t>
      </w:r>
      <w:r w:rsidR="00752DB4">
        <w:t xml:space="preserve">also prevents ruptures </w:t>
      </w:r>
      <w:r w:rsidR="00675989">
        <w:t xml:space="preserve">that </w:t>
      </w:r>
      <w:r w:rsidR="00752DB4">
        <w:t xml:space="preserve">jump onto a fault section for a single subsection before continuing on the main fault. </w:t>
      </w:r>
      <w:r w:rsidR="00167305">
        <w:t>A</w:t>
      </w:r>
      <w:r w:rsidR="00752DB4">
        <w:t xml:space="preserve">n exception to this rule </w:t>
      </w:r>
      <w:r w:rsidR="00167305">
        <w:t xml:space="preserve">is </w:t>
      </w:r>
      <w:proofErr w:type="gramStart"/>
      <w:r w:rsidR="00167305">
        <w:t xml:space="preserve">made </w:t>
      </w:r>
      <w:r w:rsidR="00752DB4">
        <w:t xml:space="preserve"> where</w:t>
      </w:r>
      <w:proofErr w:type="gramEnd"/>
      <w:r w:rsidR="00752DB4">
        <w:t xml:space="preserve"> two faults can only connect by jumping onto a single fault section of another fault. This can be caused by a segment boundary immediately next to a junction (</w:t>
      </w:r>
      <w:r w:rsidR="00766365">
        <w:t>fig</w:t>
      </w:r>
      <w:r w:rsidR="00167305">
        <w:t>.</w:t>
      </w:r>
      <w:r w:rsidR="00766365">
        <w:t xml:space="preserve"> </w:t>
      </w:r>
      <w:r w:rsidR="002857B7">
        <w:t>T</w:t>
      </w:r>
      <w:r w:rsidR="00752DB4">
        <w:t>3). Azimuth changes for all azimuth filters are computed by using the midpoints of the single connector subsection as well as the first subsection of the next fault.</w:t>
      </w:r>
    </w:p>
    <w:p w14:paraId="76A3A73E" w14:textId="77777777" w:rsidR="004F5567" w:rsidRDefault="004F5567"/>
    <w:p w14:paraId="7F53F75F" w14:textId="77777777" w:rsidR="004F5567" w:rsidRDefault="00752DB4">
      <w:pPr>
        <w:jc w:val="center"/>
      </w:pPr>
      <w:r>
        <w:rPr>
          <w:noProof/>
        </w:rPr>
        <w:drawing>
          <wp:inline distT="0" distB="0" distL="0" distR="0" wp14:anchorId="07B58FF0" wp14:editId="5B5FA05C">
            <wp:extent cx="5457825" cy="37909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tretch>
                      <a:fillRect/>
                    </a:stretch>
                  </pic:blipFill>
                  <pic:spPr>
                    <a:xfrm>
                      <a:off x="0" y="0"/>
                      <a:ext cx="5457825" cy="3790950"/>
                    </a:xfrm>
                    <a:prstGeom prst="rect">
                      <a:avLst/>
                    </a:prstGeom>
                  </pic:spPr>
                </pic:pic>
              </a:graphicData>
            </a:graphic>
          </wp:inline>
        </w:drawing>
      </w:r>
    </w:p>
    <w:p w14:paraId="5345EF79" w14:textId="77777777" w:rsidR="004F5567" w:rsidRDefault="00766365" w:rsidP="00D01D58">
      <w:pPr>
        <w:pStyle w:val="FigureCaption"/>
      </w:pPr>
      <w:r>
        <w:t xml:space="preserve"> </w:t>
      </w:r>
      <w:r w:rsidR="00993148">
        <w:t xml:space="preserve">Illustration showing </w:t>
      </w:r>
      <w:r w:rsidR="00752DB4">
        <w:t xml:space="preserve">where the Sargent </w:t>
      </w:r>
      <w:r w:rsidR="007E6D83">
        <w:t>F</w:t>
      </w:r>
      <w:r w:rsidR="00752DB4">
        <w:t xml:space="preserve">ault (blue) can only connect with the Peninsula section of the San Andreas Fault (orange) by including a single section of the Santa Cruz Mountains section (green). This is allowed by a special exception to the </w:t>
      </w:r>
      <w:r w:rsidR="00167305">
        <w:t>m</w:t>
      </w:r>
      <w:r w:rsidR="00752DB4">
        <w:t xml:space="preserve">inimum </w:t>
      </w:r>
      <w:r w:rsidR="00167305">
        <w:t>n</w:t>
      </w:r>
      <w:r w:rsidR="00752DB4">
        <w:t xml:space="preserve">umber </w:t>
      </w:r>
      <w:r w:rsidR="00167305">
        <w:t>o</w:t>
      </w:r>
      <w:r w:rsidR="00752DB4">
        <w:t xml:space="preserve">f </w:t>
      </w:r>
      <w:r w:rsidR="00167305">
        <w:t>s</w:t>
      </w:r>
      <w:r w:rsidR="00752DB4">
        <w:t xml:space="preserve">ections </w:t>
      </w:r>
      <w:r w:rsidR="00167305">
        <w:t>p</w:t>
      </w:r>
      <w:r w:rsidR="00752DB4">
        <w:t xml:space="preserve">er </w:t>
      </w:r>
      <w:r w:rsidR="00167305">
        <w:t>f</w:t>
      </w:r>
      <w:r w:rsidR="00752DB4">
        <w:t>ault filter.</w:t>
      </w:r>
    </w:p>
    <w:p w14:paraId="3D00C774" w14:textId="77777777" w:rsidR="004F5567" w:rsidRDefault="004F5567"/>
    <w:p w14:paraId="61F08674" w14:textId="77777777" w:rsidR="004F5567" w:rsidRDefault="00752DB4" w:rsidP="00D23755">
      <w:pPr>
        <w:pStyle w:val="Heading1"/>
      </w:pPr>
      <w:r>
        <w:t>Coulomb Filter</w:t>
      </w:r>
    </w:p>
    <w:p w14:paraId="6362FDC2" w14:textId="77777777" w:rsidR="004F5567" w:rsidRDefault="00167305" w:rsidP="000E6CDE">
      <w:pPr>
        <w:pStyle w:val="BodyText"/>
      </w:pPr>
      <w:r>
        <w:t xml:space="preserve">The Coulomb filter </w:t>
      </w:r>
      <w:r w:rsidR="0088025B">
        <w:t>criterion</w:t>
      </w:r>
      <w:r w:rsidR="00752DB4">
        <w:t xml:space="preserve"> checks the Coulomb compatibility of subsections involved in each rupture junction. Parsons </w:t>
      </w:r>
      <w:r w:rsidR="00766365">
        <w:t>and others</w:t>
      </w:r>
      <w:r w:rsidR="00752DB4">
        <w:t xml:space="preserve"> (2012) outline the methodology for computing Coulomb failure stress change (</w:t>
      </w:r>
      <w:r w:rsidR="00752DB4" w:rsidRPr="0028257C">
        <w:rPr>
          <w:i/>
        </w:rPr>
        <w:t>ΔCFF</w:t>
      </w:r>
      <w:r w:rsidR="00752DB4">
        <w:t>) between each pair of subsections within the maximum rupture jump distance of 5 km. Each subsection is broken down into 1</w:t>
      </w:r>
      <w:r w:rsidR="00675989">
        <w:t>×</w:t>
      </w:r>
      <w:r w:rsidR="00752DB4">
        <w:t>1</w:t>
      </w:r>
      <w:r w:rsidR="00675989">
        <w:t>-</w:t>
      </w:r>
      <w:r w:rsidR="00752DB4">
        <w:t>km dislocations</w:t>
      </w:r>
      <w:r>
        <w:t>,</w:t>
      </w:r>
      <w:r w:rsidR="00752DB4">
        <w:t xml:space="preserve"> to depict complex geometries, and assigned a uniform slip of 0.1 m (required to establish a relative ranking for each junction). Geologic rakes are used for all </w:t>
      </w:r>
      <w:r w:rsidR="00752DB4" w:rsidRPr="0028257C">
        <w:rPr>
          <w:i/>
        </w:rPr>
        <w:t>ΔCFF</w:t>
      </w:r>
      <w:r w:rsidR="00752DB4">
        <w:t xml:space="preserve"> calculations to ensure a constant rupture set across all deformation models. </w:t>
      </w:r>
      <w:r w:rsidR="00752DB4" w:rsidRPr="0028257C">
        <w:rPr>
          <w:i/>
        </w:rPr>
        <w:t>ΔCFF</w:t>
      </w:r>
      <w:r w:rsidR="00752DB4">
        <w:t xml:space="preserve"> for each pair of subsections is then defined as the maximum </w:t>
      </w:r>
      <w:r w:rsidR="00752DB4" w:rsidRPr="0028257C">
        <w:rPr>
          <w:i/>
        </w:rPr>
        <w:t>ΔCFF</w:t>
      </w:r>
      <w:r w:rsidR="00752DB4">
        <w:t xml:space="preserve"> using each dislocation as a source:</w:t>
      </w:r>
    </w:p>
    <w:p w14:paraId="67ADF1B6" w14:textId="77777777" w:rsidR="004F5567" w:rsidRPr="00752DB4" w:rsidRDefault="00752DB4" w:rsidP="00675989">
      <w:pPr>
        <w:pStyle w:val="EquationNumbered"/>
        <w:jc w:val="center"/>
      </w:pPr>
      <m:oMath>
        <m:r>
          <m:rPr>
            <m:sty m:val="p"/>
          </m:rPr>
          <w:rPr>
            <w:rFonts w:ascii="Cambria Math" w:hAnsi="Cambria Math"/>
          </w:rPr>
          <m:t>ΔCFF≡</m:t>
        </m:r>
        <m:d>
          <m:dPr>
            <m:begChr m:val="|"/>
            <m:endChr m:val="|"/>
            <m:ctrlPr>
              <w:rPr>
                <w:rFonts w:ascii="Cambria Math" w:hAnsi="Cambria Math"/>
              </w:rPr>
            </m:ctrlPr>
          </m:dPr>
          <m:e>
            <m:r>
              <m:rPr>
                <m:sty m:val="p"/>
              </m:rPr>
              <w:rPr>
                <w:rFonts w:ascii="Cambria Math" w:hAnsi="Cambria Math"/>
              </w:rPr>
              <m:t>Δ</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f</m:t>
                </m:r>
              </m:sub>
            </m:sSub>
          </m:e>
        </m:d>
        <m:r>
          <m:rPr>
            <m:sty m:val="p"/>
          </m:rPr>
          <w:rPr>
            <w:rFonts w:ascii="Cambria Math" w:hAnsi="Cambria Math"/>
          </w:rPr>
          <m:t>+μ(Δ</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n</m:t>
            </m:r>
          </m:sub>
        </m:sSub>
        <m:r>
          <m:rPr>
            <m:sty m:val="p"/>
          </m:rPr>
          <w:rPr>
            <w:rFonts w:ascii="Cambria Math" w:hAnsi="Cambria Math"/>
          </w:rPr>
          <m:t>-Δp)</m:t>
        </m:r>
      </m:oMath>
      <w:r w:rsidR="00675989">
        <w:rPr>
          <w:rFonts w:eastAsiaTheme="minorEastAsia"/>
        </w:rPr>
        <w:tab/>
        <w:t>(T1)</w:t>
      </w:r>
    </w:p>
    <w:p w14:paraId="171EC516" w14:textId="77777777" w:rsidR="004F5567" w:rsidRDefault="00752DB4" w:rsidP="000E6CDE">
      <w:pPr>
        <w:pStyle w:val="BodyText"/>
      </w:pPr>
      <w:proofErr w:type="gramStart"/>
      <w:r>
        <w:t>where</w:t>
      </w:r>
      <w:proofErr w:type="gramEnd"/>
      <w:r>
        <w:t xml:space="preserve"> </w:t>
      </w:r>
      <m:oMath>
        <m:r>
          <w:rPr>
            <w:rFonts w:ascii="Cambria Math" w:hAnsi="Cambria Math"/>
          </w:rPr>
          <m:t>Δ</m:t>
        </m:r>
        <m:sSub>
          <m:sSubPr>
            <m:ctrlPr>
              <w:rPr>
                <w:rFonts w:ascii="Cambria Math" w:hAnsi="Cambria Math"/>
                <w:i/>
              </w:rPr>
            </m:ctrlPr>
          </m:sSubPr>
          <m:e>
            <m:r>
              <w:rPr>
                <w:rFonts w:ascii="Cambria Math" w:hAnsi="Cambria Math"/>
              </w:rPr>
              <m:t>τ</m:t>
            </m:r>
          </m:e>
          <m:sub>
            <m:r>
              <w:rPr>
                <w:rFonts w:ascii="Cambria Math" w:hAnsi="Cambria Math"/>
              </w:rPr>
              <m:t>f</m:t>
            </m:r>
          </m:sub>
        </m:sSub>
      </m:oMath>
      <w:r>
        <w:t xml:space="preserve"> is the change in shear stress on the receiver subsection, </w:t>
      </w:r>
      <m:oMath>
        <m:r>
          <w:rPr>
            <w:rFonts w:ascii="Cambria Math" w:hAnsi="Cambria Math"/>
          </w:rPr>
          <m:t>μ</m:t>
        </m:r>
      </m:oMath>
      <w:r>
        <w:t xml:space="preserve"> is the coefficient of friction (we use a constant </w:t>
      </w:r>
      <m:oMath>
        <m:r>
          <w:rPr>
            <w:rFonts w:ascii="Cambria Math" w:hAnsi="Cambria Math"/>
          </w:rPr>
          <m:t>μ=0.5</m:t>
        </m:r>
      </m:oMath>
      <w:r>
        <w:t xml:space="preserve">), and </w:t>
      </w:r>
      <m:oMath>
        <m:r>
          <m:rPr>
            <m:sty m:val="p"/>
          </m:rPr>
          <w:rPr>
            <w:rFonts w:ascii="Cambria Math" w:hAnsi="Cambria Math"/>
          </w:rPr>
          <m:t>Δp</m:t>
        </m:r>
      </m:oMath>
      <w:r w:rsidR="004E3512">
        <w:t xml:space="preserve"> </w:t>
      </w:r>
      <w:r>
        <w:t xml:space="preserve">is the pore pressure change (neglected for this study). </w:t>
      </w:r>
      <w:r w:rsidRPr="0028257C">
        <w:rPr>
          <w:i/>
        </w:rPr>
        <w:t>ΔCFF</w:t>
      </w:r>
      <w:r>
        <w:t xml:space="preserve"> is not symmetric ( </w:t>
      </w:r>
      <m:oMath>
        <m:r>
          <w:rPr>
            <w:rFonts w:ascii="Cambria Math" w:hAnsi="Cambria Math"/>
          </w:rPr>
          <m:t>ΔCF</m:t>
        </m:r>
        <m:sSub>
          <m:sSubPr>
            <m:ctrlPr>
              <w:rPr>
                <w:rFonts w:ascii="Cambria Math" w:hAnsi="Cambria Math"/>
                <w:i/>
              </w:rPr>
            </m:ctrlPr>
          </m:sSubPr>
          <m:e>
            <m:r>
              <w:rPr>
                <w:rFonts w:ascii="Cambria Math" w:hAnsi="Cambria Math"/>
              </w:rPr>
              <m:t>F</m:t>
            </m:r>
          </m:e>
          <m:sub>
            <m:r>
              <w:rPr>
                <w:rFonts w:ascii="Cambria Math" w:hAnsi="Cambria Math"/>
              </w:rPr>
              <m:t>i,j</m:t>
            </m:r>
          </m:sub>
        </m:sSub>
        <m:r>
          <w:rPr>
            <w:rFonts w:ascii="Cambria Math" w:hAnsi="Cambria Math"/>
          </w:rPr>
          <m:t xml:space="preserve"> ≠ΔCF</m:t>
        </m:r>
        <m:sSub>
          <m:sSubPr>
            <m:ctrlPr>
              <w:rPr>
                <w:rFonts w:ascii="Cambria Math" w:hAnsi="Cambria Math"/>
                <w:i/>
              </w:rPr>
            </m:ctrlPr>
          </m:sSubPr>
          <m:e>
            <m:r>
              <w:rPr>
                <w:rFonts w:ascii="Cambria Math" w:hAnsi="Cambria Math"/>
              </w:rPr>
              <m:t>F</m:t>
            </m:r>
          </m:e>
          <m:sub>
            <m:r>
              <w:rPr>
                <w:rFonts w:ascii="Cambria Math" w:hAnsi="Cambria Math"/>
              </w:rPr>
              <m:t>j,i</m:t>
            </m:r>
          </m:sub>
        </m:sSub>
      </m:oMath>
      <w:r>
        <w:t>) and is computed in both directions.</w:t>
      </w:r>
    </w:p>
    <w:p w14:paraId="127B9B09" w14:textId="77777777" w:rsidR="004F5567" w:rsidRDefault="00752DB4" w:rsidP="000E6CDE">
      <w:pPr>
        <w:pStyle w:val="BodyText"/>
      </w:pPr>
      <w:r>
        <w:t xml:space="preserve">We then define the relative Coulomb favorability ratio </w:t>
      </w:r>
      <m:oMath>
        <m:r>
          <w:rPr>
            <w:rFonts w:ascii="Cambria Math" w:hAnsi="Cambria Math"/>
          </w:rPr>
          <m:t>PΔCF</m:t>
        </m:r>
        <m:sSub>
          <m:sSubPr>
            <m:ctrlPr>
              <w:rPr>
                <w:rFonts w:ascii="Cambria Math" w:hAnsi="Cambria Math"/>
                <w:i/>
              </w:rPr>
            </m:ctrlPr>
          </m:sSubPr>
          <m:e>
            <m:r>
              <w:rPr>
                <w:rFonts w:ascii="Cambria Math" w:hAnsi="Cambria Math"/>
              </w:rPr>
              <m:t>F</m:t>
            </m:r>
          </m:e>
          <m:sub>
            <m:r>
              <w:rPr>
                <w:rFonts w:ascii="Cambria Math" w:hAnsi="Cambria Math"/>
              </w:rPr>
              <m:t>i,j</m:t>
            </m:r>
          </m:sub>
        </m:sSub>
      </m:oMath>
      <w:r>
        <w:t xml:space="preserve"> for each subsection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t xml:space="preserve"> to a subsection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t xml:space="preserve"> within 5 km</w:t>
      </w:r>
      <w:r w:rsidR="00D60E8D">
        <w:t>,</w:t>
      </w:r>
      <w:r>
        <w:t xml:space="preserve"> as the ratio of </w:t>
      </w:r>
      <m:oMath>
        <m:r>
          <w:rPr>
            <w:rFonts w:ascii="Cambria Math" w:hAnsi="Cambria Math"/>
          </w:rPr>
          <m:t>ΔCF</m:t>
        </m:r>
        <m:sSub>
          <m:sSubPr>
            <m:ctrlPr>
              <w:rPr>
                <w:rFonts w:ascii="Cambria Math" w:hAnsi="Cambria Math"/>
                <w:i/>
              </w:rPr>
            </m:ctrlPr>
          </m:sSubPr>
          <m:e>
            <m:r>
              <w:rPr>
                <w:rFonts w:ascii="Cambria Math" w:hAnsi="Cambria Math"/>
              </w:rPr>
              <m:t>F</m:t>
            </m:r>
          </m:e>
          <m:sub>
            <m:r>
              <w:rPr>
                <w:rFonts w:ascii="Cambria Math" w:hAnsi="Cambria Math"/>
              </w:rPr>
              <m:t>i,j</m:t>
            </m:r>
          </m:sub>
        </m:sSub>
      </m:oMath>
      <w:r w:rsidR="004E3512">
        <w:t xml:space="preserve"> </w:t>
      </w:r>
      <w:r>
        <w:t xml:space="preserve">to the sum of the </w:t>
      </w:r>
      <m:oMath>
        <m:r>
          <m:rPr>
            <m:sty m:val="p"/>
          </m:rPr>
          <w:rPr>
            <w:rFonts w:ascii="Cambria Math" w:hAnsi="Cambria Math"/>
          </w:rPr>
          <m:t>n</m:t>
        </m:r>
      </m:oMath>
      <w:r>
        <w:t xml:space="preserve"> </w:t>
      </w:r>
      <w:r w:rsidRPr="0028257C">
        <w:rPr>
          <w:i/>
        </w:rPr>
        <w:t>ΔCFF</w:t>
      </w:r>
      <w:r>
        <w:t xml:space="preserve"> values of each subsection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t xml:space="preserve"> within 5 km of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t>:</w:t>
      </w:r>
    </w:p>
    <w:p w14:paraId="2AF76B08" w14:textId="77777777" w:rsidR="004F5567" w:rsidRPr="00752DB4" w:rsidRDefault="00752DB4" w:rsidP="00675989">
      <w:pPr>
        <w:pStyle w:val="EquationNumbered"/>
        <w:jc w:val="center"/>
      </w:pPr>
      <m:oMath>
        <m:r>
          <m:rPr>
            <m:sty m:val="p"/>
          </m:rPr>
          <w:rPr>
            <w:rFonts w:ascii="Cambria Math" w:hAnsi="Cambria Math"/>
          </w:rPr>
          <m:t>PΔCF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i,j</m:t>
            </m:r>
          </m:sub>
        </m:sSub>
        <m:r>
          <m:rPr>
            <m:sty m:val="p"/>
          </m:rPr>
          <w:rPr>
            <w:rFonts w:ascii="Cambria Math" w:hAnsi="Cambria Math"/>
          </w:rPr>
          <m:t>=ΔCF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i,j</m:t>
            </m:r>
          </m:sub>
        </m:sSub>
        <m:r>
          <m:rPr>
            <m:sty m:val="p"/>
          </m:rPr>
          <w:rPr>
            <w:rFonts w:ascii="Cambria Math" w:hAnsi="Cambria Math"/>
          </w:rPr>
          <m:t xml:space="preserve"> / </m:t>
        </m:r>
        <m:nary>
          <m:naryPr>
            <m:chr m:val="∑"/>
            <m:ctrlPr>
              <w:rPr>
                <w:rFonts w:ascii="Cambria Math" w:hAnsi="Cambria Math"/>
              </w:rPr>
            </m:ctrlPr>
          </m:naryPr>
          <m:sub/>
          <m:sup/>
          <m:e>
            <m:r>
              <m:rPr>
                <m:sty m:val="p"/>
              </m:rPr>
              <w:rPr>
                <w:rFonts w:ascii="Cambria Math" w:hAnsi="Cambria Math"/>
              </w:rPr>
              <m:t>(ΔCF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i,k</m:t>
                </m:r>
              </m:sub>
            </m:sSub>
            <m:r>
              <m:rPr>
                <m:sty m:val="p"/>
              </m:rPr>
              <w:rPr>
                <w:rFonts w:ascii="Cambria Math" w:hAnsi="Cambria Math"/>
              </w:rPr>
              <m:t>)</m:t>
            </m:r>
          </m:e>
        </m:nary>
      </m:oMath>
      <w:r w:rsidR="00675989">
        <w:rPr>
          <w:rFonts w:eastAsiaTheme="minorEastAsia"/>
        </w:rPr>
        <w:tab/>
        <w:t>(T2)</w:t>
      </w:r>
    </w:p>
    <w:p w14:paraId="70D1E5AC" w14:textId="62E43451" w:rsidR="004F5567" w:rsidRDefault="00752DB4" w:rsidP="000E6CDE">
      <w:pPr>
        <w:pStyle w:val="BodyText"/>
      </w:pPr>
      <w:r>
        <w:t xml:space="preserve">See </w:t>
      </w:r>
      <w:r w:rsidR="00766365">
        <w:t xml:space="preserve">figure </w:t>
      </w:r>
      <w:r w:rsidR="002857B7">
        <w:t>T</w:t>
      </w:r>
      <w:r>
        <w:t xml:space="preserve">4 for an illustration of this calculation for a case where three fault sections </w:t>
      </w:r>
      <w:r w:rsidR="000E024E">
        <w:t>connect</w:t>
      </w:r>
      <w:r>
        <w:t xml:space="preserve">. </w:t>
      </w:r>
      <w:r w:rsidRPr="0028257C">
        <w:rPr>
          <w:i/>
        </w:rPr>
        <w:t>PΔCFF</w:t>
      </w:r>
      <w:r>
        <w:t xml:space="preserve"> provides a useful means for filtering less favorable subsection connections, and we require</w:t>
      </w:r>
      <w:r w:rsidR="000E024E">
        <w:t>d</w:t>
      </w:r>
      <w:r>
        <w:t xml:space="preserve"> that </w:t>
      </w:r>
      <w:r w:rsidRPr="0028257C">
        <w:rPr>
          <w:i/>
        </w:rPr>
        <w:t>PΔCFF</w:t>
      </w:r>
      <w:r w:rsidR="0028257C">
        <w:t>≥</w:t>
      </w:r>
      <w:r>
        <w:t xml:space="preserve">0.04 at each junction in a rupture. One shortcoming of this </w:t>
      </w:r>
      <w:r w:rsidRPr="0028257C">
        <w:rPr>
          <w:i/>
        </w:rPr>
        <w:t>PΔCFF</w:t>
      </w:r>
      <w:r>
        <w:t xml:space="preserve"> threshold is </w:t>
      </w:r>
      <w:r w:rsidR="00D60E8D">
        <w:t xml:space="preserve">the </w:t>
      </w:r>
      <w:r>
        <w:t xml:space="preserve">sensitivity to the number of possible connections (with many possible </w:t>
      </w:r>
      <w:r>
        <w:lastRenderedPageBreak/>
        <w:t xml:space="preserve">connections resulting in lower </w:t>
      </w:r>
      <w:r w:rsidRPr="00E77F5C">
        <w:rPr>
          <w:i/>
        </w:rPr>
        <w:t>PΔCFF</w:t>
      </w:r>
      <w:r>
        <w:t xml:space="preserve"> values for each individual connection) and outliers (where one very large </w:t>
      </w:r>
      <w:r w:rsidRPr="00E77F5C">
        <w:rPr>
          <w:i/>
        </w:rPr>
        <w:t>ΔCFF</w:t>
      </w:r>
      <w:r>
        <w:t xml:space="preserve"> value reduces </w:t>
      </w:r>
      <w:r w:rsidRPr="00E77F5C">
        <w:rPr>
          <w:i/>
        </w:rPr>
        <w:t>PΔCFF</w:t>
      </w:r>
      <w:r>
        <w:t xml:space="preserve"> of each other connection). </w:t>
      </w:r>
      <w:r w:rsidR="00D60E8D">
        <w:t>T</w:t>
      </w:r>
      <w:r>
        <w:t xml:space="preserve">hese shortcomings </w:t>
      </w:r>
      <w:r w:rsidR="00D60E8D">
        <w:t xml:space="preserve">are addressed </w:t>
      </w:r>
      <w:r>
        <w:t xml:space="preserve">by allowing junctions </w:t>
      </w:r>
      <w:r w:rsidR="0046242D">
        <w:t>less than</w:t>
      </w:r>
      <w:r>
        <w:t xml:space="preserve"> the </w:t>
      </w:r>
      <w:r w:rsidRPr="00E77F5C">
        <w:rPr>
          <w:i/>
        </w:rPr>
        <w:t>PΔCFF</w:t>
      </w:r>
      <w:r>
        <w:t xml:space="preserve"> threshold but have </w:t>
      </w:r>
      <w:r w:rsidR="00D60E8D">
        <w:t xml:space="preserve">a </w:t>
      </w:r>
      <w:r w:rsidRPr="00E77F5C">
        <w:rPr>
          <w:i/>
        </w:rPr>
        <w:t>ΔCFF</w:t>
      </w:r>
      <w:r>
        <w:t xml:space="preserve"> ≥ 1.25 bar. Additionally, </w:t>
      </w:r>
      <w:r w:rsidR="00D60E8D">
        <w:t xml:space="preserve">because </w:t>
      </w:r>
      <w:r>
        <w:t xml:space="preserve">each subsection pair has </w:t>
      </w:r>
      <w:r w:rsidRPr="00E77F5C">
        <w:rPr>
          <w:i/>
        </w:rPr>
        <w:t>PΔCFF</w:t>
      </w:r>
      <w:r>
        <w:t xml:space="preserve"> and </w:t>
      </w:r>
      <w:r w:rsidRPr="00E77F5C">
        <w:rPr>
          <w:i/>
        </w:rPr>
        <w:t>ΔCFF</w:t>
      </w:r>
      <w:r>
        <w:t xml:space="preserve"> values for each direction, we only include</w:t>
      </w:r>
      <w:r w:rsidR="000E024E">
        <w:t>d</w:t>
      </w:r>
      <w:r>
        <w:t xml:space="preserve"> ruptures which pass the test in at least one possible rupture propagation direction, including the possibility of nucleation between two junctions and propagating outward, as </w:t>
      </w:r>
      <w:r w:rsidR="000E024E">
        <w:t xml:space="preserve">shown </w:t>
      </w:r>
      <w:r>
        <w:t xml:space="preserve">in </w:t>
      </w:r>
      <w:r w:rsidR="00766365">
        <w:t xml:space="preserve">figure </w:t>
      </w:r>
      <w:r w:rsidR="002857B7">
        <w:t>T</w:t>
      </w:r>
      <w:r>
        <w:t xml:space="preserve">5. Examples of ruptures allowed by the previous filters but excluded by the Coulomb filter are shown in </w:t>
      </w:r>
      <w:r w:rsidR="00766365">
        <w:t xml:space="preserve">figure </w:t>
      </w:r>
      <w:r w:rsidR="002857B7">
        <w:t>T</w:t>
      </w:r>
      <w:r>
        <w:t>6.</w:t>
      </w:r>
    </w:p>
    <w:p w14:paraId="3F64FA89" w14:textId="77777777" w:rsidR="004F5567" w:rsidRDefault="004F5567"/>
    <w:p w14:paraId="1FEC27C6" w14:textId="77777777" w:rsidR="004F5567" w:rsidRDefault="00752DB4">
      <w:r>
        <w:rPr>
          <w:noProof/>
        </w:rPr>
        <w:drawing>
          <wp:inline distT="0" distB="0" distL="0" distR="0" wp14:anchorId="7E97CFC5" wp14:editId="210ABD6B">
            <wp:extent cx="5829300" cy="41148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
                    <a:stretch>
                      <a:fillRect/>
                    </a:stretch>
                  </pic:blipFill>
                  <pic:spPr>
                    <a:xfrm>
                      <a:off x="0" y="0"/>
                      <a:ext cx="5829300" cy="4114800"/>
                    </a:xfrm>
                    <a:prstGeom prst="rect">
                      <a:avLst/>
                    </a:prstGeom>
                  </pic:spPr>
                </pic:pic>
              </a:graphicData>
            </a:graphic>
          </wp:inline>
        </w:drawing>
      </w:r>
    </w:p>
    <w:p w14:paraId="41BE8DC7" w14:textId="00872A31" w:rsidR="004F5567" w:rsidRDefault="007B310F" w:rsidP="00D01D58">
      <w:pPr>
        <w:pStyle w:val="FigureCaption"/>
      </w:pPr>
      <w:r>
        <w:t>Coulomb favorability ratio</w:t>
      </w:r>
      <w:r w:rsidR="00766365">
        <w:t xml:space="preserve"> </w:t>
      </w:r>
      <w:r>
        <w:t>(</w:t>
      </w:r>
      <w:r w:rsidR="00752DB4" w:rsidRPr="00E77F5C">
        <w:rPr>
          <w:i/>
        </w:rPr>
        <w:t>P</w:t>
      </w:r>
      <w:r w:rsidR="00752DB4" w:rsidRPr="00E77F5C">
        <w:rPr>
          <w:rFonts w:ascii="Times New Roman" w:hAnsi="Times New Roman"/>
          <w:i/>
        </w:rPr>
        <w:t>Δ</w:t>
      </w:r>
      <w:r w:rsidR="00752DB4" w:rsidRPr="00E77F5C">
        <w:rPr>
          <w:i/>
        </w:rPr>
        <w:t>CFF</w:t>
      </w:r>
      <w:r>
        <w:t>)</w:t>
      </w:r>
      <w:r w:rsidR="00752DB4">
        <w:t xml:space="preserve"> illustration </w:t>
      </w:r>
      <w:r w:rsidR="00993148">
        <w:t xml:space="preserve">showing </w:t>
      </w:r>
      <w:r w:rsidR="00752DB4">
        <w:t xml:space="preserve">ruptures jumping from the North Frontal (subsection 1398, rake=90 degrees) to the </w:t>
      </w:r>
      <w:proofErr w:type="spellStart"/>
      <w:r w:rsidR="00752DB4">
        <w:t>Cleghorn</w:t>
      </w:r>
      <w:proofErr w:type="spellEnd"/>
      <w:r w:rsidR="00752DB4">
        <w:t xml:space="preserve"> (subsection 324, rake=0 degrees) and San Andreas (San Bernardino North, subsection 1949, rake=180 degrees). In this case</w:t>
      </w:r>
      <w:r w:rsidR="000E024E">
        <w:t>,</w:t>
      </w:r>
      <w:r w:rsidR="00752DB4">
        <w:t xml:space="preserve"> receiving </w:t>
      </w:r>
      <w:r w:rsidR="00752DB4">
        <w:lastRenderedPageBreak/>
        <w:t>subsection 1399 is exceptionally well aligned to receive Coulomb stress from a unit slip on 1398.  More typical strike-slip subsections co</w:t>
      </w:r>
      <w:r w:rsidR="00067EA0">
        <w:t xml:space="preserve">nnect to their </w:t>
      </w:r>
      <w:r w:rsidR="000E024E">
        <w:t xml:space="preserve">adjacent subsections </w:t>
      </w:r>
      <w:r w:rsidR="00067EA0">
        <w:t>with 6–</w:t>
      </w:r>
      <w:r w:rsidR="00752DB4">
        <w:t xml:space="preserve">15 bars. The sum of all </w:t>
      </w:r>
      <w:r w:rsidR="0019759E">
        <w:t>Coulomb failure stress change (</w:t>
      </w:r>
      <w:r w:rsidR="00752DB4" w:rsidRPr="00E77F5C">
        <w:rPr>
          <w:rFonts w:ascii="Times New Roman" w:hAnsi="Times New Roman"/>
          <w:i/>
        </w:rPr>
        <w:t>Δ</w:t>
      </w:r>
      <w:r w:rsidR="00752DB4" w:rsidRPr="00E77F5C">
        <w:rPr>
          <w:i/>
        </w:rPr>
        <w:t>CFF</w:t>
      </w:r>
      <w:r w:rsidR="0019759E">
        <w:t>)</w:t>
      </w:r>
      <w:r w:rsidR="00E77F5C">
        <w:t xml:space="preserve"> values are</w:t>
      </w:r>
      <w:r w:rsidR="00752DB4">
        <w:t xml:space="preserve"> 156.447 bar, so </w:t>
      </w:r>
      <m:oMath>
        <m:r>
          <w:rPr>
            <w:rFonts w:ascii="Cambria Math" w:hAnsi="Cambria Math"/>
          </w:rPr>
          <m:t>PΔCF</m:t>
        </m:r>
        <m:sSub>
          <m:sSubPr>
            <m:ctrlPr>
              <w:rPr>
                <w:rFonts w:ascii="Cambria Math" w:hAnsi="Cambria Math"/>
                <w:i/>
              </w:rPr>
            </m:ctrlPr>
          </m:sSubPr>
          <m:e>
            <m:r>
              <w:rPr>
                <w:rFonts w:ascii="Cambria Math" w:hAnsi="Cambria Math"/>
              </w:rPr>
              <m:t>F</m:t>
            </m:r>
          </m:e>
          <m:sub>
            <m:r>
              <w:rPr>
                <w:rFonts w:ascii="Cambria Math" w:hAnsi="Cambria Math"/>
              </w:rPr>
              <m:t>1398,j</m:t>
            </m:r>
          </m:sub>
        </m:sSub>
        <m:r>
          <w:rPr>
            <w:rFonts w:ascii="Cambria Math" w:hAnsi="Cambria Math"/>
          </w:rPr>
          <m:t>=ΔCF</m:t>
        </m:r>
        <m:sSub>
          <m:sSubPr>
            <m:ctrlPr>
              <w:rPr>
                <w:rFonts w:ascii="Cambria Math" w:hAnsi="Cambria Math"/>
                <w:i/>
              </w:rPr>
            </m:ctrlPr>
          </m:sSubPr>
          <m:e>
            <m:r>
              <w:rPr>
                <w:rFonts w:ascii="Cambria Math" w:hAnsi="Cambria Math"/>
              </w:rPr>
              <m:t>F</m:t>
            </m:r>
          </m:e>
          <m:sub>
            <m:r>
              <w:rPr>
                <w:rFonts w:ascii="Cambria Math" w:hAnsi="Cambria Math"/>
              </w:rPr>
              <m:t>1398,j</m:t>
            </m:r>
          </m:sub>
        </m:sSub>
        <m:r>
          <w:rPr>
            <w:rFonts w:ascii="Cambria Math" w:hAnsi="Cambria Math"/>
          </w:rPr>
          <m:t>/156.447</m:t>
        </m:r>
      </m:oMath>
      <w:proofErr w:type="gramStart"/>
      <w:r w:rsidR="00752DB4">
        <w:t>,</w:t>
      </w:r>
      <w:r w:rsidR="000E024E">
        <w:t>(</w:t>
      </w:r>
      <w:proofErr w:type="gramEnd"/>
      <w:r w:rsidR="00831B28">
        <w:t>for example,</w:t>
      </w:r>
      <w:r w:rsidR="00752DB4">
        <w:t xml:space="preserve"> the junction from subsection 1398</w:t>
      </w:r>
      <w:r w:rsidR="00784ECA">
        <w:t>–</w:t>
      </w:r>
      <w:r w:rsidR="00752DB4">
        <w:t xml:space="preserve">324, </w:t>
      </w:r>
      <m:oMath>
        <m:r>
          <w:rPr>
            <w:rFonts w:ascii="Cambria Math" w:hAnsi="Cambria Math"/>
          </w:rPr>
          <m:t>PΔCF</m:t>
        </m:r>
        <m:sSub>
          <m:sSubPr>
            <m:ctrlPr>
              <w:rPr>
                <w:rFonts w:ascii="Cambria Math" w:hAnsi="Cambria Math"/>
                <w:i/>
              </w:rPr>
            </m:ctrlPr>
          </m:sSubPr>
          <m:e>
            <m:r>
              <w:rPr>
                <w:rFonts w:ascii="Cambria Math" w:hAnsi="Cambria Math"/>
              </w:rPr>
              <m:t>F</m:t>
            </m:r>
          </m:e>
          <m:sub>
            <m:r>
              <w:rPr>
                <w:rFonts w:ascii="Cambria Math" w:hAnsi="Cambria Math"/>
              </w:rPr>
              <m:t>1398,324</m:t>
            </m:r>
          </m:sub>
        </m:sSub>
        <m:r>
          <w:rPr>
            <w:rFonts w:ascii="Cambria Math" w:hAnsi="Cambria Math"/>
          </w:rPr>
          <m:t>=ΔCF</m:t>
        </m:r>
        <m:sSub>
          <m:sSubPr>
            <m:ctrlPr>
              <w:rPr>
                <w:rFonts w:ascii="Cambria Math" w:hAnsi="Cambria Math"/>
                <w:i/>
              </w:rPr>
            </m:ctrlPr>
          </m:sSubPr>
          <m:e>
            <m:r>
              <w:rPr>
                <w:rFonts w:ascii="Cambria Math" w:hAnsi="Cambria Math"/>
              </w:rPr>
              <m:t>F</m:t>
            </m:r>
          </m:e>
          <m:sub>
            <m:r>
              <w:rPr>
                <w:rFonts w:ascii="Cambria Math" w:hAnsi="Cambria Math"/>
              </w:rPr>
              <m:t>1398,324</m:t>
            </m:r>
          </m:sub>
        </m:sSub>
        <m:r>
          <w:rPr>
            <w:rFonts w:ascii="Cambria Math" w:hAnsi="Cambria Math"/>
          </w:rPr>
          <m:t>/156.447=6.593/156.447=0.042</m:t>
        </m:r>
      </m:oMath>
      <w:r w:rsidR="000E024E">
        <w:rPr>
          <w:rFonts w:eastAsiaTheme="minorEastAsia"/>
        </w:rPr>
        <w:t>)</w:t>
      </w:r>
      <w:r w:rsidR="00752DB4">
        <w:t xml:space="preserve">. In this case, </w:t>
      </w:r>
      <w:r w:rsidR="004E3512">
        <w:t xml:space="preserve">the </w:t>
      </w:r>
      <w:r w:rsidR="00752DB4">
        <w:t xml:space="preserve">North Frontal </w:t>
      </w:r>
      <w:r w:rsidR="004E3512">
        <w:t xml:space="preserve">Fault </w:t>
      </w:r>
      <w:r w:rsidR="00752DB4">
        <w:t xml:space="preserve">can connect with </w:t>
      </w:r>
      <w:r w:rsidR="00E77F5C">
        <w:t xml:space="preserve">the </w:t>
      </w:r>
      <w:proofErr w:type="spellStart"/>
      <w:r w:rsidR="00752DB4">
        <w:t>Cleghorn</w:t>
      </w:r>
      <w:proofErr w:type="spellEnd"/>
      <w:r w:rsidR="00752DB4">
        <w:t xml:space="preserve"> </w:t>
      </w:r>
      <w:r w:rsidR="004E3512">
        <w:t xml:space="preserve">Fault </w:t>
      </w:r>
      <w:r w:rsidR="00752DB4">
        <w:t xml:space="preserve">because </w:t>
      </w:r>
      <m:oMath>
        <m:r>
          <w:rPr>
            <w:rFonts w:ascii="Cambria Math" w:hAnsi="Cambria Math"/>
          </w:rPr>
          <m:t>PΔCFF≥0.04</m:t>
        </m:r>
      </m:oMath>
      <w:r w:rsidR="00752DB4">
        <w:t xml:space="preserve">. </w:t>
      </w:r>
      <w:r w:rsidR="00831B28">
        <w:t xml:space="preserve">If </w:t>
      </w:r>
      <w:r w:rsidR="00752DB4">
        <w:t xml:space="preserve">the </w:t>
      </w:r>
      <m:oMath>
        <m:r>
          <w:rPr>
            <w:rFonts w:ascii="Cambria Math" w:hAnsi="Cambria Math"/>
          </w:rPr>
          <m:t>PΔCFF</m:t>
        </m:r>
      </m:oMath>
      <w:r w:rsidR="00752DB4">
        <w:t xml:space="preserve"> threshold </w:t>
      </w:r>
      <w:r w:rsidR="00831B28">
        <w:t xml:space="preserve">were </w:t>
      </w:r>
      <w:proofErr w:type="gramStart"/>
      <w:r w:rsidR="00752DB4">
        <w:t>more strict</w:t>
      </w:r>
      <w:proofErr w:type="gramEnd"/>
      <w:r w:rsidR="00752DB4">
        <w:t xml:space="preserve">, the junction would still be included as </w:t>
      </w:r>
      <m:oMath>
        <m:r>
          <w:rPr>
            <w:rFonts w:ascii="Cambria Math" w:hAnsi="Cambria Math"/>
          </w:rPr>
          <m:t>ΔCFF≥1.25</m:t>
        </m:r>
      </m:oMath>
      <w:r w:rsidR="00752DB4">
        <w:t xml:space="preserve">. </w:t>
      </w:r>
      <w:r w:rsidR="00784ECA">
        <w:t xml:space="preserve">However, the </w:t>
      </w:r>
      <w:r w:rsidR="00752DB4">
        <w:t xml:space="preserve">North Frontal </w:t>
      </w:r>
      <w:r w:rsidR="004E3512">
        <w:t xml:space="preserve">Fault </w:t>
      </w:r>
      <w:r w:rsidR="00752DB4">
        <w:t xml:space="preserve">cannot connect with the San Andreas </w:t>
      </w:r>
      <w:r w:rsidR="004E3512">
        <w:t xml:space="preserve">Fault </w:t>
      </w:r>
      <w:r w:rsidR="00752DB4">
        <w:t xml:space="preserve">as it violates the </w:t>
      </w:r>
      <w:r w:rsidR="00752DB4" w:rsidRPr="00E77F5C">
        <w:rPr>
          <w:i/>
        </w:rPr>
        <w:t>P</w:t>
      </w:r>
      <w:r w:rsidR="00752DB4" w:rsidRPr="00E77F5C">
        <w:rPr>
          <w:rFonts w:ascii="Times New Roman" w:hAnsi="Times New Roman"/>
          <w:i/>
        </w:rPr>
        <w:t>Δ</w:t>
      </w:r>
      <w:r w:rsidR="00752DB4" w:rsidRPr="00E77F5C">
        <w:rPr>
          <w:i/>
        </w:rPr>
        <w:t>CFF</w:t>
      </w:r>
      <w:r w:rsidR="00752DB4">
        <w:t xml:space="preserve"> and </w:t>
      </w:r>
      <w:r w:rsidR="00752DB4" w:rsidRPr="00E77F5C">
        <w:rPr>
          <w:rFonts w:ascii="Times New Roman" w:hAnsi="Times New Roman"/>
          <w:i/>
        </w:rPr>
        <w:t>Δ</w:t>
      </w:r>
      <w:r w:rsidR="00752DB4" w:rsidRPr="00E77F5C">
        <w:rPr>
          <w:i/>
        </w:rPr>
        <w:t>CFF</w:t>
      </w:r>
      <w:r w:rsidR="00752DB4">
        <w:t xml:space="preserve"> thresholds.</w:t>
      </w:r>
    </w:p>
    <w:p w14:paraId="4651E3A2" w14:textId="77777777" w:rsidR="004F5567" w:rsidRDefault="00752DB4">
      <w:pPr>
        <w:jc w:val="center"/>
      </w:pPr>
      <w:r>
        <w:rPr>
          <w:noProof/>
        </w:rPr>
        <w:drawing>
          <wp:inline distT="0" distB="0" distL="0" distR="0" wp14:anchorId="3411674C" wp14:editId="1AB495A5">
            <wp:extent cx="5829300" cy="3400425"/>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2"/>
                    <a:stretch>
                      <a:fillRect/>
                    </a:stretch>
                  </pic:blipFill>
                  <pic:spPr>
                    <a:xfrm>
                      <a:off x="0" y="0"/>
                      <a:ext cx="5829300" cy="3400425"/>
                    </a:xfrm>
                    <a:prstGeom prst="rect">
                      <a:avLst/>
                    </a:prstGeom>
                  </pic:spPr>
                </pic:pic>
              </a:graphicData>
            </a:graphic>
          </wp:inline>
        </w:drawing>
      </w:r>
    </w:p>
    <w:p w14:paraId="4E969D9C" w14:textId="6415B619" w:rsidR="004F5567" w:rsidRDefault="00766365" w:rsidP="00D01D58">
      <w:pPr>
        <w:pStyle w:val="FigureCaption"/>
      </w:pPr>
      <w:r>
        <w:t xml:space="preserve"> </w:t>
      </w:r>
      <w:r w:rsidR="00993148">
        <w:t xml:space="preserve">Illustration showing </w:t>
      </w:r>
      <w:r w:rsidR="00EC54E8">
        <w:t xml:space="preserve">a </w:t>
      </w:r>
      <w:r w:rsidR="00752DB4">
        <w:t xml:space="preserve">Coulomb filter example for a rupture with </w:t>
      </w:r>
      <w:r w:rsidR="00067EA0">
        <w:t>two</w:t>
      </w:r>
      <w:r w:rsidR="00752DB4">
        <w:t xml:space="preserve"> junctions. </w:t>
      </w:r>
      <w:r w:rsidR="00EC54E8">
        <w:t xml:space="preserve">In </w:t>
      </w:r>
      <w:r w:rsidR="00752DB4">
        <w:t xml:space="preserve">this </w:t>
      </w:r>
      <w:proofErr w:type="gramStart"/>
      <w:r w:rsidR="00752DB4">
        <w:t>example</w:t>
      </w:r>
      <w:r w:rsidR="00784ECA">
        <w:t>(</w:t>
      </w:r>
      <w:proofErr w:type="gramEnd"/>
      <w:r w:rsidR="00784ECA">
        <w:t>with</w:t>
      </w:r>
      <w:r w:rsidR="00752DB4">
        <w:t xml:space="preserve"> a </w:t>
      </w:r>
      <w:r w:rsidR="0019759E">
        <w:t xml:space="preserve">Coulomb favorability ratio </w:t>
      </w:r>
      <w:r w:rsidR="00752DB4">
        <w:t>threshold of 0.04</w:t>
      </w:r>
      <w:r w:rsidR="00784ECA">
        <w:t>)</w:t>
      </w:r>
      <w:r w:rsidR="00752DB4">
        <w:t>, th</w:t>
      </w:r>
      <w:r w:rsidR="00EC54E8">
        <w:t>e</w:t>
      </w:r>
      <w:r w:rsidR="00752DB4">
        <w:t xml:space="preserve"> rupture passes the case where the hypocenter is on the middle fault section and is included in the set of possible ruptures. No priority is given to ruptures which pass in multiple propagation directions; if a rupture passes in any nucleation case, it is included in the rupture set.</w:t>
      </w:r>
    </w:p>
    <w:p w14:paraId="032948C3" w14:textId="77777777" w:rsidR="004F5567" w:rsidRDefault="004F5567"/>
    <w:p w14:paraId="61D90135" w14:textId="77777777" w:rsidR="004F5567" w:rsidRDefault="00752DB4">
      <w:pPr>
        <w:jc w:val="center"/>
      </w:pPr>
      <w:r>
        <w:rPr>
          <w:noProof/>
        </w:rPr>
        <w:drawing>
          <wp:inline distT="0" distB="0" distL="0" distR="0" wp14:anchorId="1CDD95EA" wp14:editId="7BCCE39B">
            <wp:extent cx="5924550" cy="3371850"/>
            <wp:effectExtent l="0" t="0" r="0" b="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3"/>
                    <a:stretch>
                      <a:fillRect/>
                    </a:stretch>
                  </pic:blipFill>
                  <pic:spPr>
                    <a:xfrm>
                      <a:off x="0" y="0"/>
                      <a:ext cx="5924550" cy="3371850"/>
                    </a:xfrm>
                    <a:prstGeom prst="rect">
                      <a:avLst/>
                    </a:prstGeom>
                  </pic:spPr>
                </pic:pic>
              </a:graphicData>
            </a:graphic>
          </wp:inline>
        </w:drawing>
      </w:r>
    </w:p>
    <w:p w14:paraId="5D103A14" w14:textId="77777777" w:rsidR="004F5567" w:rsidRDefault="00752DB4">
      <w:r>
        <w:rPr>
          <w:noProof/>
        </w:rPr>
        <w:drawing>
          <wp:inline distT="0" distB="0" distL="0" distR="0" wp14:anchorId="7E44BAF3" wp14:editId="2DC4F00B">
            <wp:extent cx="5924550" cy="352425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tretch>
                      <a:fillRect/>
                    </a:stretch>
                  </pic:blipFill>
                  <pic:spPr>
                    <a:xfrm>
                      <a:off x="0" y="0"/>
                      <a:ext cx="5924550" cy="3524250"/>
                    </a:xfrm>
                    <a:prstGeom prst="rect">
                      <a:avLst/>
                    </a:prstGeom>
                  </pic:spPr>
                </pic:pic>
              </a:graphicData>
            </a:graphic>
          </wp:inline>
        </w:drawing>
      </w:r>
    </w:p>
    <w:p w14:paraId="5290EA5B" w14:textId="77777777" w:rsidR="004F5567" w:rsidRDefault="00766365" w:rsidP="00D01D58">
      <w:pPr>
        <w:pStyle w:val="FigureCaption"/>
      </w:pPr>
      <w:r>
        <w:t xml:space="preserve"> </w:t>
      </w:r>
      <w:r w:rsidR="00993148">
        <w:t>Illustration showing e</w:t>
      </w:r>
      <w:r w:rsidR="00752DB4">
        <w:t>xample ruptures excluded by the Coulomb filter that would otherwise be included. Each color represents a different fault section (fault sections not involved in the rupture are gray). The junction that fails the Coulomb test is highlighted with a black arrow.</w:t>
      </w:r>
    </w:p>
    <w:p w14:paraId="1C7B7DC7" w14:textId="070522D9" w:rsidR="004F5567" w:rsidRDefault="00EB347C" w:rsidP="00E77F5C">
      <w:pPr>
        <w:pStyle w:val="TableTitle"/>
      </w:pPr>
      <w:r>
        <w:lastRenderedPageBreak/>
        <w:t>Number of ruptures and junctions excluded by the Coulomb filter from the set of all ruptures that pass all other filters for a variety of Coulomb favorability ratio (</w:t>
      </w:r>
      <w:r w:rsidRPr="00B5734D">
        <w:rPr>
          <w:i/>
        </w:rPr>
        <w:t>P</w:t>
      </w:r>
      <w:r w:rsidRPr="00B5734D">
        <w:rPr>
          <w:rFonts w:ascii="Times New Roman" w:hAnsi="Times New Roman"/>
          <w:i/>
        </w:rPr>
        <w:t>Δ</w:t>
      </w:r>
      <w:r w:rsidRPr="00B5734D">
        <w:rPr>
          <w:i/>
        </w:rPr>
        <w:t>CFF</w:t>
      </w:r>
      <w:r>
        <w:t>) and Coulomb failure stress change (</w:t>
      </w:r>
      <w:r w:rsidRPr="00B5734D">
        <w:rPr>
          <w:rFonts w:ascii="Times New Roman" w:hAnsi="Times New Roman"/>
          <w:i/>
        </w:rPr>
        <w:t>Δ</w:t>
      </w:r>
      <w:r w:rsidRPr="00B5734D">
        <w:rPr>
          <w:i/>
        </w:rPr>
        <w:t>CFF</w:t>
      </w:r>
      <w:r>
        <w:t>) threshold values. Currently used thresholds are highlighted with bold text.</w:t>
      </w:r>
    </w:p>
    <w:tbl>
      <w:tblPr>
        <w:tblW w:w="10180" w:type="dxa"/>
        <w:tblInd w:w="90" w:type="dxa"/>
        <w:tblLayout w:type="fixed"/>
        <w:tblCellMar>
          <w:left w:w="10" w:type="dxa"/>
          <w:right w:w="10" w:type="dxa"/>
        </w:tblCellMar>
        <w:tblLook w:val="0000" w:firstRow="0" w:lastRow="0" w:firstColumn="0" w:lastColumn="0" w:noHBand="0" w:noVBand="0"/>
      </w:tblPr>
      <w:tblGrid>
        <w:gridCol w:w="820"/>
        <w:gridCol w:w="1520"/>
        <w:gridCol w:w="820"/>
        <w:gridCol w:w="1520"/>
        <w:gridCol w:w="820"/>
        <w:gridCol w:w="1520"/>
        <w:gridCol w:w="820"/>
        <w:gridCol w:w="1520"/>
        <w:gridCol w:w="820"/>
      </w:tblGrid>
      <w:tr w:rsidR="004F5567" w14:paraId="55376C56" w14:textId="77777777" w:rsidTr="00DF5EC9">
        <w:trPr>
          <w:gridAfter w:val="1"/>
          <w:wAfter w:w="820" w:type="dxa"/>
        </w:trPr>
        <w:tc>
          <w:tcPr>
            <w:tcW w:w="2340" w:type="dxa"/>
            <w:gridSpan w:val="2"/>
            <w:tcBorders>
              <w:top w:val="single" w:sz="4" w:space="0" w:color="auto"/>
              <w:bottom w:val="single" w:sz="4" w:space="0" w:color="auto"/>
            </w:tcBorders>
            <w:tcMar>
              <w:top w:w="100" w:type="dxa"/>
              <w:left w:w="100" w:type="dxa"/>
              <w:bottom w:w="100" w:type="dxa"/>
              <w:right w:w="100" w:type="dxa"/>
            </w:tcMar>
          </w:tcPr>
          <w:p w14:paraId="4894F12B" w14:textId="77777777" w:rsidR="004F5567" w:rsidRDefault="00752DB4" w:rsidP="00DF5EC9">
            <w:pPr>
              <w:pStyle w:val="TableCellHeading"/>
            </w:pPr>
            <w:r>
              <w:t>PΔCFF</w:t>
            </w:r>
          </w:p>
        </w:tc>
        <w:tc>
          <w:tcPr>
            <w:tcW w:w="2340" w:type="dxa"/>
            <w:gridSpan w:val="2"/>
            <w:tcBorders>
              <w:top w:val="single" w:sz="4" w:space="0" w:color="auto"/>
              <w:bottom w:val="single" w:sz="4" w:space="0" w:color="auto"/>
            </w:tcBorders>
            <w:tcMar>
              <w:top w:w="100" w:type="dxa"/>
              <w:left w:w="100" w:type="dxa"/>
              <w:bottom w:w="100" w:type="dxa"/>
              <w:right w:w="100" w:type="dxa"/>
            </w:tcMar>
          </w:tcPr>
          <w:p w14:paraId="14F4C91A" w14:textId="77777777" w:rsidR="004F5567" w:rsidRDefault="00752DB4" w:rsidP="00DF5EC9">
            <w:pPr>
              <w:pStyle w:val="TableCellHeading"/>
            </w:pPr>
            <w:r>
              <w:t>ΔCFF (bar)</w:t>
            </w:r>
          </w:p>
        </w:tc>
        <w:tc>
          <w:tcPr>
            <w:tcW w:w="2340" w:type="dxa"/>
            <w:gridSpan w:val="2"/>
            <w:tcBorders>
              <w:top w:val="single" w:sz="4" w:space="0" w:color="auto"/>
              <w:bottom w:val="single" w:sz="4" w:space="0" w:color="auto"/>
            </w:tcBorders>
            <w:tcMar>
              <w:top w:w="100" w:type="dxa"/>
              <w:left w:w="100" w:type="dxa"/>
              <w:bottom w:w="100" w:type="dxa"/>
              <w:right w:w="100" w:type="dxa"/>
            </w:tcMar>
          </w:tcPr>
          <w:p w14:paraId="0DD3B30E" w14:textId="77777777" w:rsidR="004F5567" w:rsidRDefault="00752DB4" w:rsidP="00DF5EC9">
            <w:pPr>
              <w:pStyle w:val="TableCellHeading"/>
            </w:pPr>
            <w:r>
              <w:t xml:space="preserve">Number </w:t>
            </w:r>
            <w:r w:rsidR="004E3512">
              <w:t>o</w:t>
            </w:r>
            <w:r>
              <w:t xml:space="preserve">f </w:t>
            </w:r>
            <w:r w:rsidR="004851AB">
              <w:t>r</w:t>
            </w:r>
            <w:r>
              <w:t xml:space="preserve">uptures </w:t>
            </w:r>
            <w:r w:rsidR="004851AB">
              <w:t>e</w:t>
            </w:r>
            <w:r>
              <w:t>xcluded</w:t>
            </w:r>
          </w:p>
        </w:tc>
        <w:tc>
          <w:tcPr>
            <w:tcW w:w="2340" w:type="dxa"/>
            <w:gridSpan w:val="2"/>
            <w:tcBorders>
              <w:top w:val="single" w:sz="4" w:space="0" w:color="auto"/>
              <w:bottom w:val="single" w:sz="4" w:space="0" w:color="auto"/>
            </w:tcBorders>
            <w:tcMar>
              <w:top w:w="100" w:type="dxa"/>
              <w:left w:w="100" w:type="dxa"/>
              <w:bottom w:w="100" w:type="dxa"/>
              <w:right w:w="100" w:type="dxa"/>
            </w:tcMar>
          </w:tcPr>
          <w:p w14:paraId="0D88D3F1" w14:textId="77777777" w:rsidR="004F5567" w:rsidRDefault="00752DB4" w:rsidP="00DF5EC9">
            <w:pPr>
              <w:pStyle w:val="TableCellHeading"/>
            </w:pPr>
            <w:r>
              <w:t xml:space="preserve">Number </w:t>
            </w:r>
            <w:r w:rsidR="004E3512">
              <w:t>o</w:t>
            </w:r>
            <w:r>
              <w:t xml:space="preserve">f </w:t>
            </w:r>
            <w:r w:rsidR="004851AB">
              <w:t>j</w:t>
            </w:r>
            <w:r>
              <w:t xml:space="preserve">unctions </w:t>
            </w:r>
            <w:r w:rsidR="004851AB">
              <w:t>e</w:t>
            </w:r>
            <w:r>
              <w:t>xcluded</w:t>
            </w:r>
          </w:p>
        </w:tc>
      </w:tr>
      <w:tr w:rsidR="004F5567" w14:paraId="3B4C7215" w14:textId="77777777" w:rsidTr="00DF5EC9">
        <w:trPr>
          <w:gridBefore w:val="1"/>
          <w:wBefore w:w="820" w:type="dxa"/>
        </w:trPr>
        <w:tc>
          <w:tcPr>
            <w:tcW w:w="2340" w:type="dxa"/>
            <w:gridSpan w:val="2"/>
            <w:tcBorders>
              <w:top w:val="single" w:sz="4" w:space="0" w:color="auto"/>
            </w:tcBorders>
            <w:tcMar>
              <w:top w:w="100" w:type="dxa"/>
              <w:left w:w="100" w:type="dxa"/>
              <w:bottom w:w="100" w:type="dxa"/>
              <w:right w:w="100" w:type="dxa"/>
            </w:tcMar>
          </w:tcPr>
          <w:p w14:paraId="4A440A64" w14:textId="77777777" w:rsidR="004F5567" w:rsidRDefault="00752DB4" w:rsidP="00DF5EC9">
            <w:pPr>
              <w:pStyle w:val="TableCellBody"/>
            </w:pPr>
            <w:r>
              <w:t>0.02</w:t>
            </w:r>
          </w:p>
        </w:tc>
        <w:tc>
          <w:tcPr>
            <w:tcW w:w="2340" w:type="dxa"/>
            <w:gridSpan w:val="2"/>
            <w:tcBorders>
              <w:top w:val="single" w:sz="4" w:space="0" w:color="auto"/>
            </w:tcBorders>
            <w:tcMar>
              <w:top w:w="100" w:type="dxa"/>
              <w:left w:w="100" w:type="dxa"/>
              <w:bottom w:w="100" w:type="dxa"/>
              <w:right w:w="100" w:type="dxa"/>
            </w:tcMar>
          </w:tcPr>
          <w:p w14:paraId="2F4F6E6E" w14:textId="77777777" w:rsidR="004F5567" w:rsidRDefault="00752DB4" w:rsidP="00DF5EC9">
            <w:pPr>
              <w:pStyle w:val="TableCellBody"/>
            </w:pPr>
            <w:r>
              <w:t>1.0</w:t>
            </w:r>
          </w:p>
        </w:tc>
        <w:tc>
          <w:tcPr>
            <w:tcW w:w="2340" w:type="dxa"/>
            <w:gridSpan w:val="2"/>
            <w:tcBorders>
              <w:top w:val="single" w:sz="4" w:space="0" w:color="auto"/>
            </w:tcBorders>
            <w:tcMar>
              <w:top w:w="100" w:type="dxa"/>
              <w:left w:w="100" w:type="dxa"/>
              <w:bottom w:w="100" w:type="dxa"/>
              <w:right w:w="100" w:type="dxa"/>
            </w:tcMar>
          </w:tcPr>
          <w:p w14:paraId="154C2C1C" w14:textId="77777777" w:rsidR="004F5567" w:rsidRDefault="00752DB4" w:rsidP="00DF5EC9">
            <w:pPr>
              <w:pStyle w:val="TableCellBody"/>
            </w:pPr>
            <w:r>
              <w:t>117,580</w:t>
            </w:r>
          </w:p>
        </w:tc>
        <w:tc>
          <w:tcPr>
            <w:tcW w:w="2340" w:type="dxa"/>
            <w:gridSpan w:val="2"/>
            <w:tcBorders>
              <w:top w:val="single" w:sz="4" w:space="0" w:color="auto"/>
            </w:tcBorders>
            <w:tcMar>
              <w:top w:w="100" w:type="dxa"/>
              <w:left w:w="100" w:type="dxa"/>
              <w:bottom w:w="100" w:type="dxa"/>
              <w:right w:w="100" w:type="dxa"/>
            </w:tcMar>
          </w:tcPr>
          <w:p w14:paraId="2644DFDA" w14:textId="77777777" w:rsidR="004F5567" w:rsidRDefault="00752DB4" w:rsidP="00DF5EC9">
            <w:pPr>
              <w:pStyle w:val="TableCellBody"/>
              <w:tabs>
                <w:tab w:val="left" w:pos="620"/>
              </w:tabs>
              <w:ind w:right="710"/>
            </w:pPr>
            <w:r>
              <w:t>55</w:t>
            </w:r>
          </w:p>
        </w:tc>
      </w:tr>
      <w:tr w:rsidR="004F5567" w14:paraId="592FEDC0" w14:textId="77777777" w:rsidTr="00DF5EC9">
        <w:trPr>
          <w:gridBefore w:val="1"/>
          <w:wBefore w:w="820" w:type="dxa"/>
        </w:trPr>
        <w:tc>
          <w:tcPr>
            <w:tcW w:w="2340" w:type="dxa"/>
            <w:gridSpan w:val="2"/>
            <w:tcMar>
              <w:top w:w="100" w:type="dxa"/>
              <w:left w:w="100" w:type="dxa"/>
              <w:bottom w:w="100" w:type="dxa"/>
              <w:right w:w="100" w:type="dxa"/>
            </w:tcMar>
          </w:tcPr>
          <w:p w14:paraId="7EC158D5" w14:textId="77777777" w:rsidR="004F5567" w:rsidRDefault="00752DB4" w:rsidP="00DF5EC9">
            <w:pPr>
              <w:pStyle w:val="TableCellBody"/>
            </w:pPr>
            <w:r>
              <w:t>0.02</w:t>
            </w:r>
          </w:p>
        </w:tc>
        <w:tc>
          <w:tcPr>
            <w:tcW w:w="2340" w:type="dxa"/>
            <w:gridSpan w:val="2"/>
            <w:tcMar>
              <w:top w:w="100" w:type="dxa"/>
              <w:left w:w="100" w:type="dxa"/>
              <w:bottom w:w="100" w:type="dxa"/>
              <w:right w:w="100" w:type="dxa"/>
            </w:tcMar>
          </w:tcPr>
          <w:p w14:paraId="5A79CEFA" w14:textId="77777777" w:rsidR="004F5567" w:rsidRDefault="00752DB4" w:rsidP="00DF5EC9">
            <w:pPr>
              <w:pStyle w:val="TableCellBody"/>
            </w:pPr>
            <w:r>
              <w:t>1.25</w:t>
            </w:r>
          </w:p>
        </w:tc>
        <w:tc>
          <w:tcPr>
            <w:tcW w:w="2340" w:type="dxa"/>
            <w:gridSpan w:val="2"/>
            <w:tcMar>
              <w:top w:w="100" w:type="dxa"/>
              <w:left w:w="100" w:type="dxa"/>
              <w:bottom w:w="100" w:type="dxa"/>
              <w:right w:w="100" w:type="dxa"/>
            </w:tcMar>
          </w:tcPr>
          <w:p w14:paraId="0E06205E" w14:textId="77777777" w:rsidR="004F5567" w:rsidRDefault="00752DB4" w:rsidP="00DF5EC9">
            <w:pPr>
              <w:pStyle w:val="TableCellBody"/>
            </w:pPr>
            <w:r>
              <w:t>119,278</w:t>
            </w:r>
          </w:p>
        </w:tc>
        <w:tc>
          <w:tcPr>
            <w:tcW w:w="2340" w:type="dxa"/>
            <w:gridSpan w:val="2"/>
            <w:tcMar>
              <w:top w:w="100" w:type="dxa"/>
              <w:left w:w="100" w:type="dxa"/>
              <w:bottom w:w="100" w:type="dxa"/>
              <w:right w:w="100" w:type="dxa"/>
            </w:tcMar>
          </w:tcPr>
          <w:p w14:paraId="1C147DEF" w14:textId="77777777" w:rsidR="004F5567" w:rsidRDefault="00752DB4" w:rsidP="00DF5EC9">
            <w:pPr>
              <w:pStyle w:val="TableCellBody"/>
            </w:pPr>
            <w:r>
              <w:t>57</w:t>
            </w:r>
          </w:p>
        </w:tc>
      </w:tr>
      <w:tr w:rsidR="004F5567" w14:paraId="2ABAC2BB" w14:textId="77777777" w:rsidTr="00DF5EC9">
        <w:trPr>
          <w:gridBefore w:val="1"/>
          <w:wBefore w:w="820" w:type="dxa"/>
        </w:trPr>
        <w:tc>
          <w:tcPr>
            <w:tcW w:w="2340" w:type="dxa"/>
            <w:gridSpan w:val="2"/>
            <w:tcMar>
              <w:top w:w="100" w:type="dxa"/>
              <w:left w:w="100" w:type="dxa"/>
              <w:bottom w:w="100" w:type="dxa"/>
              <w:right w:w="100" w:type="dxa"/>
            </w:tcMar>
          </w:tcPr>
          <w:p w14:paraId="1EC0B3DF" w14:textId="77777777" w:rsidR="004F5567" w:rsidRDefault="00752DB4" w:rsidP="00DF5EC9">
            <w:pPr>
              <w:pStyle w:val="TableCellBody"/>
            </w:pPr>
            <w:r>
              <w:t>0.02</w:t>
            </w:r>
          </w:p>
        </w:tc>
        <w:tc>
          <w:tcPr>
            <w:tcW w:w="2340" w:type="dxa"/>
            <w:gridSpan w:val="2"/>
            <w:tcMar>
              <w:top w:w="100" w:type="dxa"/>
              <w:left w:w="100" w:type="dxa"/>
              <w:bottom w:w="100" w:type="dxa"/>
              <w:right w:w="100" w:type="dxa"/>
            </w:tcMar>
          </w:tcPr>
          <w:p w14:paraId="61C132AC" w14:textId="77777777" w:rsidR="004F5567" w:rsidRDefault="00752DB4" w:rsidP="00DF5EC9">
            <w:pPr>
              <w:pStyle w:val="TableCellBody"/>
            </w:pPr>
            <w:r>
              <w:t>1.5</w:t>
            </w:r>
          </w:p>
        </w:tc>
        <w:tc>
          <w:tcPr>
            <w:tcW w:w="2340" w:type="dxa"/>
            <w:gridSpan w:val="2"/>
            <w:tcMar>
              <w:top w:w="100" w:type="dxa"/>
              <w:left w:w="100" w:type="dxa"/>
              <w:bottom w:w="100" w:type="dxa"/>
              <w:right w:w="100" w:type="dxa"/>
            </w:tcMar>
          </w:tcPr>
          <w:p w14:paraId="4BC1E752" w14:textId="77777777" w:rsidR="004F5567" w:rsidRDefault="00752DB4" w:rsidP="00DF5EC9">
            <w:pPr>
              <w:pStyle w:val="TableCellBody"/>
            </w:pPr>
            <w:r>
              <w:t>119,727</w:t>
            </w:r>
          </w:p>
        </w:tc>
        <w:tc>
          <w:tcPr>
            <w:tcW w:w="2340" w:type="dxa"/>
            <w:gridSpan w:val="2"/>
            <w:tcMar>
              <w:top w:w="100" w:type="dxa"/>
              <w:left w:w="100" w:type="dxa"/>
              <w:bottom w:w="100" w:type="dxa"/>
              <w:right w:w="100" w:type="dxa"/>
            </w:tcMar>
          </w:tcPr>
          <w:p w14:paraId="68D411C6" w14:textId="77777777" w:rsidR="004F5567" w:rsidRDefault="00752DB4" w:rsidP="00DF5EC9">
            <w:pPr>
              <w:pStyle w:val="TableCellBody"/>
            </w:pPr>
            <w:r>
              <w:t>58</w:t>
            </w:r>
          </w:p>
        </w:tc>
      </w:tr>
      <w:tr w:rsidR="004F5567" w14:paraId="4B77CC74" w14:textId="77777777" w:rsidTr="00DF5EC9">
        <w:trPr>
          <w:gridBefore w:val="1"/>
          <w:wBefore w:w="820" w:type="dxa"/>
        </w:trPr>
        <w:tc>
          <w:tcPr>
            <w:tcW w:w="2340" w:type="dxa"/>
            <w:gridSpan w:val="2"/>
            <w:tcMar>
              <w:top w:w="100" w:type="dxa"/>
              <w:left w:w="100" w:type="dxa"/>
              <w:bottom w:w="100" w:type="dxa"/>
              <w:right w:w="100" w:type="dxa"/>
            </w:tcMar>
          </w:tcPr>
          <w:p w14:paraId="59CD45B1" w14:textId="77777777" w:rsidR="004F5567" w:rsidRDefault="00752DB4" w:rsidP="00DF5EC9">
            <w:pPr>
              <w:pStyle w:val="TableCellBody"/>
            </w:pPr>
            <w:r>
              <w:t>0.02</w:t>
            </w:r>
          </w:p>
        </w:tc>
        <w:tc>
          <w:tcPr>
            <w:tcW w:w="2340" w:type="dxa"/>
            <w:gridSpan w:val="2"/>
            <w:tcMar>
              <w:top w:w="100" w:type="dxa"/>
              <w:left w:w="100" w:type="dxa"/>
              <w:bottom w:w="100" w:type="dxa"/>
              <w:right w:w="100" w:type="dxa"/>
            </w:tcMar>
          </w:tcPr>
          <w:p w14:paraId="32F77543" w14:textId="77777777" w:rsidR="004F5567" w:rsidRDefault="00752DB4" w:rsidP="00DF5EC9">
            <w:pPr>
              <w:pStyle w:val="TableCellBody"/>
            </w:pPr>
            <w:r>
              <w:t>(</w:t>
            </w:r>
            <w:proofErr w:type="gramStart"/>
            <w:r>
              <w:t>off</w:t>
            </w:r>
            <w:proofErr w:type="gramEnd"/>
            <w:r>
              <w:t>)</w:t>
            </w:r>
          </w:p>
        </w:tc>
        <w:tc>
          <w:tcPr>
            <w:tcW w:w="2340" w:type="dxa"/>
            <w:gridSpan w:val="2"/>
            <w:tcMar>
              <w:top w:w="100" w:type="dxa"/>
              <w:left w:w="100" w:type="dxa"/>
              <w:bottom w:w="100" w:type="dxa"/>
              <w:right w:w="100" w:type="dxa"/>
            </w:tcMar>
          </w:tcPr>
          <w:p w14:paraId="5A5A5CA3" w14:textId="77777777" w:rsidR="004F5567" w:rsidRDefault="00752DB4" w:rsidP="00DF5EC9">
            <w:pPr>
              <w:pStyle w:val="TableCellBody"/>
            </w:pPr>
            <w:r>
              <w:t>141,327</w:t>
            </w:r>
          </w:p>
        </w:tc>
        <w:tc>
          <w:tcPr>
            <w:tcW w:w="2340" w:type="dxa"/>
            <w:gridSpan w:val="2"/>
            <w:tcMar>
              <w:top w:w="100" w:type="dxa"/>
              <w:left w:w="100" w:type="dxa"/>
              <w:bottom w:w="100" w:type="dxa"/>
              <w:right w:w="100" w:type="dxa"/>
            </w:tcMar>
          </w:tcPr>
          <w:p w14:paraId="57A0B620" w14:textId="77777777" w:rsidR="004F5567" w:rsidRDefault="00752DB4" w:rsidP="00DF5EC9">
            <w:pPr>
              <w:pStyle w:val="TableCellBody"/>
            </w:pPr>
            <w:r>
              <w:t>59</w:t>
            </w:r>
          </w:p>
        </w:tc>
      </w:tr>
      <w:tr w:rsidR="004F5567" w14:paraId="3098AAF2" w14:textId="77777777" w:rsidTr="00DF5EC9">
        <w:trPr>
          <w:gridBefore w:val="1"/>
          <w:wBefore w:w="820" w:type="dxa"/>
        </w:trPr>
        <w:tc>
          <w:tcPr>
            <w:tcW w:w="2340" w:type="dxa"/>
            <w:gridSpan w:val="2"/>
            <w:tcMar>
              <w:top w:w="100" w:type="dxa"/>
              <w:left w:w="100" w:type="dxa"/>
              <w:bottom w:w="100" w:type="dxa"/>
              <w:right w:w="100" w:type="dxa"/>
            </w:tcMar>
          </w:tcPr>
          <w:p w14:paraId="4DEB6E62" w14:textId="77777777" w:rsidR="004F5567" w:rsidRDefault="00752DB4" w:rsidP="00DF5EC9">
            <w:pPr>
              <w:pStyle w:val="TableCellBody"/>
            </w:pPr>
            <w:r>
              <w:t>0.04</w:t>
            </w:r>
          </w:p>
        </w:tc>
        <w:tc>
          <w:tcPr>
            <w:tcW w:w="2340" w:type="dxa"/>
            <w:gridSpan w:val="2"/>
            <w:tcMar>
              <w:top w:w="100" w:type="dxa"/>
              <w:left w:w="100" w:type="dxa"/>
              <w:bottom w:w="100" w:type="dxa"/>
              <w:right w:w="100" w:type="dxa"/>
            </w:tcMar>
          </w:tcPr>
          <w:p w14:paraId="5BF68330" w14:textId="77777777" w:rsidR="004F5567" w:rsidRDefault="00752DB4" w:rsidP="00DF5EC9">
            <w:pPr>
              <w:pStyle w:val="TableCellBody"/>
            </w:pPr>
            <w:r>
              <w:t>1.0</w:t>
            </w:r>
          </w:p>
        </w:tc>
        <w:tc>
          <w:tcPr>
            <w:tcW w:w="2340" w:type="dxa"/>
            <w:gridSpan w:val="2"/>
            <w:tcMar>
              <w:top w:w="100" w:type="dxa"/>
              <w:left w:w="100" w:type="dxa"/>
              <w:bottom w:w="100" w:type="dxa"/>
              <w:right w:w="100" w:type="dxa"/>
            </w:tcMar>
          </w:tcPr>
          <w:p w14:paraId="1B139D42" w14:textId="77777777" w:rsidR="004F5567" w:rsidRDefault="00752DB4" w:rsidP="00DF5EC9">
            <w:pPr>
              <w:pStyle w:val="TableCellBody"/>
            </w:pPr>
            <w:r>
              <w:t>256,305</w:t>
            </w:r>
          </w:p>
        </w:tc>
        <w:tc>
          <w:tcPr>
            <w:tcW w:w="2340" w:type="dxa"/>
            <w:gridSpan w:val="2"/>
            <w:tcMar>
              <w:top w:w="100" w:type="dxa"/>
              <w:left w:w="100" w:type="dxa"/>
              <w:bottom w:w="100" w:type="dxa"/>
              <w:right w:w="100" w:type="dxa"/>
            </w:tcMar>
          </w:tcPr>
          <w:p w14:paraId="5A84B821" w14:textId="77777777" w:rsidR="004F5567" w:rsidRDefault="00752DB4" w:rsidP="00DF5EC9">
            <w:pPr>
              <w:pStyle w:val="TableCellBody"/>
            </w:pPr>
            <w:r>
              <w:t>102</w:t>
            </w:r>
          </w:p>
        </w:tc>
      </w:tr>
      <w:tr w:rsidR="004F5567" w14:paraId="7F090440" w14:textId="77777777" w:rsidTr="00DF5EC9">
        <w:trPr>
          <w:gridBefore w:val="1"/>
          <w:wBefore w:w="820" w:type="dxa"/>
        </w:trPr>
        <w:tc>
          <w:tcPr>
            <w:tcW w:w="2340" w:type="dxa"/>
            <w:gridSpan w:val="2"/>
            <w:tcMar>
              <w:top w:w="100" w:type="dxa"/>
              <w:left w:w="100" w:type="dxa"/>
              <w:bottom w:w="100" w:type="dxa"/>
              <w:right w:w="100" w:type="dxa"/>
            </w:tcMar>
          </w:tcPr>
          <w:p w14:paraId="6BE2E166" w14:textId="77777777" w:rsidR="004F5567" w:rsidRDefault="00752DB4" w:rsidP="00DF5EC9">
            <w:pPr>
              <w:pStyle w:val="TableCellBody"/>
            </w:pPr>
            <w:r>
              <w:rPr>
                <w:b/>
              </w:rPr>
              <w:t>0.04</w:t>
            </w:r>
          </w:p>
        </w:tc>
        <w:tc>
          <w:tcPr>
            <w:tcW w:w="2340" w:type="dxa"/>
            <w:gridSpan w:val="2"/>
            <w:tcMar>
              <w:top w:w="100" w:type="dxa"/>
              <w:left w:w="100" w:type="dxa"/>
              <w:bottom w:w="100" w:type="dxa"/>
              <w:right w:w="100" w:type="dxa"/>
            </w:tcMar>
          </w:tcPr>
          <w:p w14:paraId="79EDFDF0" w14:textId="77777777" w:rsidR="004F5567" w:rsidRDefault="00752DB4" w:rsidP="00DF5EC9">
            <w:pPr>
              <w:pStyle w:val="TableCellBody"/>
            </w:pPr>
            <w:r>
              <w:rPr>
                <w:b/>
              </w:rPr>
              <w:t>1.25</w:t>
            </w:r>
          </w:p>
        </w:tc>
        <w:tc>
          <w:tcPr>
            <w:tcW w:w="2340" w:type="dxa"/>
            <w:gridSpan w:val="2"/>
            <w:tcMar>
              <w:top w:w="100" w:type="dxa"/>
              <w:left w:w="100" w:type="dxa"/>
              <w:bottom w:w="100" w:type="dxa"/>
              <w:right w:w="100" w:type="dxa"/>
            </w:tcMar>
          </w:tcPr>
          <w:p w14:paraId="3A33D201" w14:textId="77777777" w:rsidR="004F5567" w:rsidRDefault="00752DB4" w:rsidP="00DF5EC9">
            <w:pPr>
              <w:pStyle w:val="TableCellBody"/>
            </w:pPr>
            <w:r>
              <w:rPr>
                <w:b/>
              </w:rPr>
              <w:t>258,310</w:t>
            </w:r>
          </w:p>
        </w:tc>
        <w:tc>
          <w:tcPr>
            <w:tcW w:w="2340" w:type="dxa"/>
            <w:gridSpan w:val="2"/>
            <w:tcMar>
              <w:top w:w="100" w:type="dxa"/>
              <w:left w:w="100" w:type="dxa"/>
              <w:bottom w:w="100" w:type="dxa"/>
              <w:right w:w="100" w:type="dxa"/>
            </w:tcMar>
          </w:tcPr>
          <w:p w14:paraId="710C46E7" w14:textId="77777777" w:rsidR="004F5567" w:rsidRDefault="00752DB4" w:rsidP="00DF5EC9">
            <w:pPr>
              <w:pStyle w:val="TableCellBody"/>
            </w:pPr>
            <w:r>
              <w:rPr>
                <w:b/>
              </w:rPr>
              <w:t>105</w:t>
            </w:r>
          </w:p>
        </w:tc>
      </w:tr>
      <w:tr w:rsidR="004F5567" w14:paraId="18517F79" w14:textId="77777777" w:rsidTr="00DF5EC9">
        <w:trPr>
          <w:gridBefore w:val="1"/>
          <w:wBefore w:w="820" w:type="dxa"/>
        </w:trPr>
        <w:tc>
          <w:tcPr>
            <w:tcW w:w="2340" w:type="dxa"/>
            <w:gridSpan w:val="2"/>
            <w:tcMar>
              <w:top w:w="100" w:type="dxa"/>
              <w:left w:w="100" w:type="dxa"/>
              <w:bottom w:w="100" w:type="dxa"/>
              <w:right w:w="100" w:type="dxa"/>
            </w:tcMar>
          </w:tcPr>
          <w:p w14:paraId="17F500AA" w14:textId="77777777" w:rsidR="004F5567" w:rsidRDefault="00752DB4" w:rsidP="00DF5EC9">
            <w:pPr>
              <w:pStyle w:val="TableCellBody"/>
            </w:pPr>
            <w:r>
              <w:t>0.04</w:t>
            </w:r>
          </w:p>
        </w:tc>
        <w:tc>
          <w:tcPr>
            <w:tcW w:w="2340" w:type="dxa"/>
            <w:gridSpan w:val="2"/>
            <w:tcMar>
              <w:top w:w="100" w:type="dxa"/>
              <w:left w:w="100" w:type="dxa"/>
              <w:bottom w:w="100" w:type="dxa"/>
              <w:right w:w="100" w:type="dxa"/>
            </w:tcMar>
          </w:tcPr>
          <w:p w14:paraId="2D274583" w14:textId="77777777" w:rsidR="004F5567" w:rsidRDefault="00752DB4" w:rsidP="00DF5EC9">
            <w:pPr>
              <w:pStyle w:val="TableCellBody"/>
            </w:pPr>
            <w:r>
              <w:t>1.5</w:t>
            </w:r>
          </w:p>
        </w:tc>
        <w:tc>
          <w:tcPr>
            <w:tcW w:w="2340" w:type="dxa"/>
            <w:gridSpan w:val="2"/>
            <w:tcMar>
              <w:top w:w="100" w:type="dxa"/>
              <w:left w:w="100" w:type="dxa"/>
              <w:bottom w:w="100" w:type="dxa"/>
              <w:right w:w="100" w:type="dxa"/>
            </w:tcMar>
          </w:tcPr>
          <w:p w14:paraId="56A27E91" w14:textId="77777777" w:rsidR="004F5567" w:rsidRDefault="00752DB4" w:rsidP="00DF5EC9">
            <w:pPr>
              <w:pStyle w:val="TableCellBody"/>
            </w:pPr>
            <w:r>
              <w:t>259,868</w:t>
            </w:r>
          </w:p>
        </w:tc>
        <w:tc>
          <w:tcPr>
            <w:tcW w:w="2340" w:type="dxa"/>
            <w:gridSpan w:val="2"/>
            <w:tcMar>
              <w:top w:w="100" w:type="dxa"/>
              <w:left w:w="100" w:type="dxa"/>
              <w:bottom w:w="100" w:type="dxa"/>
              <w:right w:w="100" w:type="dxa"/>
            </w:tcMar>
          </w:tcPr>
          <w:p w14:paraId="32DE618F" w14:textId="77777777" w:rsidR="004F5567" w:rsidRDefault="00752DB4" w:rsidP="00DF5EC9">
            <w:pPr>
              <w:pStyle w:val="TableCellBody"/>
            </w:pPr>
            <w:r>
              <w:t>107</w:t>
            </w:r>
          </w:p>
        </w:tc>
      </w:tr>
      <w:tr w:rsidR="004F5567" w14:paraId="3547ADA8" w14:textId="77777777" w:rsidTr="00DF5EC9">
        <w:trPr>
          <w:gridBefore w:val="1"/>
          <w:wBefore w:w="820" w:type="dxa"/>
        </w:trPr>
        <w:tc>
          <w:tcPr>
            <w:tcW w:w="2340" w:type="dxa"/>
            <w:gridSpan w:val="2"/>
            <w:tcMar>
              <w:top w:w="100" w:type="dxa"/>
              <w:left w:w="100" w:type="dxa"/>
              <w:bottom w:w="100" w:type="dxa"/>
              <w:right w:w="100" w:type="dxa"/>
            </w:tcMar>
          </w:tcPr>
          <w:p w14:paraId="0993F43E" w14:textId="77777777" w:rsidR="004F5567" w:rsidRDefault="00752DB4" w:rsidP="00DF5EC9">
            <w:pPr>
              <w:pStyle w:val="TableCellBody"/>
            </w:pPr>
            <w:r>
              <w:t>0.04</w:t>
            </w:r>
          </w:p>
        </w:tc>
        <w:tc>
          <w:tcPr>
            <w:tcW w:w="2340" w:type="dxa"/>
            <w:gridSpan w:val="2"/>
            <w:tcMar>
              <w:top w:w="100" w:type="dxa"/>
              <w:left w:w="100" w:type="dxa"/>
              <w:bottom w:w="100" w:type="dxa"/>
              <w:right w:w="100" w:type="dxa"/>
            </w:tcMar>
          </w:tcPr>
          <w:p w14:paraId="0C0D933E" w14:textId="77777777" w:rsidR="004F5567" w:rsidRDefault="00752DB4" w:rsidP="00DF5EC9">
            <w:pPr>
              <w:pStyle w:val="TableCellBody"/>
            </w:pPr>
            <w:r>
              <w:t>(</w:t>
            </w:r>
            <w:proofErr w:type="gramStart"/>
            <w:r>
              <w:t>off</w:t>
            </w:r>
            <w:proofErr w:type="gramEnd"/>
            <w:r>
              <w:t>)</w:t>
            </w:r>
          </w:p>
        </w:tc>
        <w:tc>
          <w:tcPr>
            <w:tcW w:w="2340" w:type="dxa"/>
            <w:gridSpan w:val="2"/>
            <w:tcMar>
              <w:top w:w="100" w:type="dxa"/>
              <w:left w:w="100" w:type="dxa"/>
              <w:bottom w:w="100" w:type="dxa"/>
              <w:right w:w="100" w:type="dxa"/>
            </w:tcMar>
          </w:tcPr>
          <w:p w14:paraId="7FD66525" w14:textId="77777777" w:rsidR="004F5567" w:rsidRDefault="00752DB4" w:rsidP="00DF5EC9">
            <w:pPr>
              <w:pStyle w:val="TableCellBody"/>
            </w:pPr>
            <w:r>
              <w:t>266,885</w:t>
            </w:r>
          </w:p>
        </w:tc>
        <w:tc>
          <w:tcPr>
            <w:tcW w:w="2340" w:type="dxa"/>
            <w:gridSpan w:val="2"/>
            <w:tcMar>
              <w:top w:w="100" w:type="dxa"/>
              <w:left w:w="100" w:type="dxa"/>
              <w:bottom w:w="100" w:type="dxa"/>
              <w:right w:w="100" w:type="dxa"/>
            </w:tcMar>
          </w:tcPr>
          <w:p w14:paraId="5EF34269" w14:textId="77777777" w:rsidR="004F5567" w:rsidRDefault="00752DB4" w:rsidP="00DF5EC9">
            <w:pPr>
              <w:pStyle w:val="TableCellBody"/>
            </w:pPr>
            <w:r>
              <w:t>110</w:t>
            </w:r>
          </w:p>
        </w:tc>
      </w:tr>
      <w:tr w:rsidR="004F5567" w14:paraId="15D0D041" w14:textId="77777777" w:rsidTr="00DF5EC9">
        <w:trPr>
          <w:gridBefore w:val="1"/>
          <w:wBefore w:w="820" w:type="dxa"/>
        </w:trPr>
        <w:tc>
          <w:tcPr>
            <w:tcW w:w="2340" w:type="dxa"/>
            <w:gridSpan w:val="2"/>
            <w:tcMar>
              <w:top w:w="100" w:type="dxa"/>
              <w:left w:w="100" w:type="dxa"/>
              <w:bottom w:w="100" w:type="dxa"/>
              <w:right w:w="100" w:type="dxa"/>
            </w:tcMar>
          </w:tcPr>
          <w:p w14:paraId="19DDD502" w14:textId="77777777" w:rsidR="004F5567" w:rsidRDefault="00752DB4" w:rsidP="00DF5EC9">
            <w:pPr>
              <w:pStyle w:val="TableCellBody"/>
            </w:pPr>
            <w:r>
              <w:t>0.06</w:t>
            </w:r>
          </w:p>
        </w:tc>
        <w:tc>
          <w:tcPr>
            <w:tcW w:w="2340" w:type="dxa"/>
            <w:gridSpan w:val="2"/>
            <w:tcMar>
              <w:top w:w="100" w:type="dxa"/>
              <w:left w:w="100" w:type="dxa"/>
              <w:bottom w:w="100" w:type="dxa"/>
              <w:right w:w="100" w:type="dxa"/>
            </w:tcMar>
          </w:tcPr>
          <w:p w14:paraId="6E41726F" w14:textId="77777777" w:rsidR="004F5567" w:rsidRDefault="00752DB4" w:rsidP="00DF5EC9">
            <w:pPr>
              <w:pStyle w:val="TableCellBody"/>
            </w:pPr>
            <w:r>
              <w:t>1.0</w:t>
            </w:r>
          </w:p>
        </w:tc>
        <w:tc>
          <w:tcPr>
            <w:tcW w:w="2340" w:type="dxa"/>
            <w:gridSpan w:val="2"/>
            <w:tcMar>
              <w:top w:w="100" w:type="dxa"/>
              <w:left w:w="100" w:type="dxa"/>
              <w:bottom w:w="100" w:type="dxa"/>
              <w:right w:w="100" w:type="dxa"/>
            </w:tcMar>
          </w:tcPr>
          <w:p w14:paraId="5FCFFBD1" w14:textId="77777777" w:rsidR="004F5567" w:rsidRDefault="00752DB4" w:rsidP="00DF5EC9">
            <w:pPr>
              <w:pStyle w:val="TableCellBody"/>
            </w:pPr>
            <w:r>
              <w:t>287,618</w:t>
            </w:r>
          </w:p>
        </w:tc>
        <w:tc>
          <w:tcPr>
            <w:tcW w:w="2340" w:type="dxa"/>
            <w:gridSpan w:val="2"/>
            <w:tcMar>
              <w:top w:w="100" w:type="dxa"/>
              <w:left w:w="100" w:type="dxa"/>
              <w:bottom w:w="100" w:type="dxa"/>
              <w:right w:w="100" w:type="dxa"/>
            </w:tcMar>
          </w:tcPr>
          <w:p w14:paraId="48FC658E" w14:textId="77777777" w:rsidR="004F5567" w:rsidRDefault="00752DB4" w:rsidP="00DF5EC9">
            <w:pPr>
              <w:pStyle w:val="TableCellBody"/>
            </w:pPr>
            <w:r>
              <w:t>134</w:t>
            </w:r>
          </w:p>
        </w:tc>
      </w:tr>
      <w:tr w:rsidR="004F5567" w14:paraId="69B73BA0" w14:textId="77777777" w:rsidTr="00DF5EC9">
        <w:trPr>
          <w:gridBefore w:val="1"/>
          <w:wBefore w:w="820" w:type="dxa"/>
        </w:trPr>
        <w:tc>
          <w:tcPr>
            <w:tcW w:w="2340" w:type="dxa"/>
            <w:gridSpan w:val="2"/>
            <w:tcMar>
              <w:top w:w="100" w:type="dxa"/>
              <w:left w:w="100" w:type="dxa"/>
              <w:bottom w:w="100" w:type="dxa"/>
              <w:right w:w="100" w:type="dxa"/>
            </w:tcMar>
          </w:tcPr>
          <w:p w14:paraId="06D21506" w14:textId="77777777" w:rsidR="004F5567" w:rsidRDefault="00752DB4" w:rsidP="00DF5EC9">
            <w:pPr>
              <w:pStyle w:val="TableCellBody"/>
            </w:pPr>
            <w:r>
              <w:t>0.06</w:t>
            </w:r>
          </w:p>
        </w:tc>
        <w:tc>
          <w:tcPr>
            <w:tcW w:w="2340" w:type="dxa"/>
            <w:gridSpan w:val="2"/>
            <w:tcMar>
              <w:top w:w="100" w:type="dxa"/>
              <w:left w:w="100" w:type="dxa"/>
              <w:bottom w:w="100" w:type="dxa"/>
              <w:right w:w="100" w:type="dxa"/>
            </w:tcMar>
          </w:tcPr>
          <w:p w14:paraId="447D3EA0" w14:textId="77777777" w:rsidR="004F5567" w:rsidRDefault="00752DB4" w:rsidP="00DF5EC9">
            <w:pPr>
              <w:pStyle w:val="TableCellBody"/>
            </w:pPr>
            <w:r>
              <w:t>1.25</w:t>
            </w:r>
          </w:p>
        </w:tc>
        <w:tc>
          <w:tcPr>
            <w:tcW w:w="2340" w:type="dxa"/>
            <w:gridSpan w:val="2"/>
            <w:tcMar>
              <w:top w:w="100" w:type="dxa"/>
              <w:left w:w="100" w:type="dxa"/>
              <w:bottom w:w="100" w:type="dxa"/>
              <w:right w:w="100" w:type="dxa"/>
            </w:tcMar>
          </w:tcPr>
          <w:p w14:paraId="13D869DA" w14:textId="77777777" w:rsidR="004F5567" w:rsidRDefault="00752DB4" w:rsidP="00DF5EC9">
            <w:pPr>
              <w:pStyle w:val="TableCellBody"/>
            </w:pPr>
            <w:r>
              <w:t>300,317</w:t>
            </w:r>
          </w:p>
        </w:tc>
        <w:tc>
          <w:tcPr>
            <w:tcW w:w="2340" w:type="dxa"/>
            <w:gridSpan w:val="2"/>
            <w:tcMar>
              <w:top w:w="100" w:type="dxa"/>
              <w:left w:w="100" w:type="dxa"/>
              <w:bottom w:w="100" w:type="dxa"/>
              <w:right w:w="100" w:type="dxa"/>
            </w:tcMar>
          </w:tcPr>
          <w:p w14:paraId="70618EFC" w14:textId="77777777" w:rsidR="004F5567" w:rsidRDefault="00752DB4" w:rsidP="00DF5EC9">
            <w:pPr>
              <w:pStyle w:val="TableCellBody"/>
            </w:pPr>
            <w:r>
              <w:t>140</w:t>
            </w:r>
          </w:p>
        </w:tc>
      </w:tr>
      <w:tr w:rsidR="004F5567" w14:paraId="788ED2BB" w14:textId="77777777" w:rsidTr="00DF5EC9">
        <w:trPr>
          <w:gridBefore w:val="1"/>
          <w:wBefore w:w="820" w:type="dxa"/>
        </w:trPr>
        <w:tc>
          <w:tcPr>
            <w:tcW w:w="2340" w:type="dxa"/>
            <w:gridSpan w:val="2"/>
            <w:tcMar>
              <w:top w:w="100" w:type="dxa"/>
              <w:left w:w="100" w:type="dxa"/>
              <w:bottom w:w="100" w:type="dxa"/>
              <w:right w:w="100" w:type="dxa"/>
            </w:tcMar>
          </w:tcPr>
          <w:p w14:paraId="3577607D" w14:textId="77777777" w:rsidR="004F5567" w:rsidRDefault="00752DB4" w:rsidP="00DF5EC9">
            <w:pPr>
              <w:pStyle w:val="TableCellBody"/>
            </w:pPr>
            <w:r>
              <w:t>0.06</w:t>
            </w:r>
          </w:p>
        </w:tc>
        <w:tc>
          <w:tcPr>
            <w:tcW w:w="2340" w:type="dxa"/>
            <w:gridSpan w:val="2"/>
            <w:tcMar>
              <w:top w:w="100" w:type="dxa"/>
              <w:left w:w="100" w:type="dxa"/>
              <w:bottom w:w="100" w:type="dxa"/>
              <w:right w:w="100" w:type="dxa"/>
            </w:tcMar>
          </w:tcPr>
          <w:p w14:paraId="3FBD5C73" w14:textId="77777777" w:rsidR="004F5567" w:rsidRDefault="00752DB4" w:rsidP="00DF5EC9">
            <w:pPr>
              <w:pStyle w:val="TableCellBody"/>
            </w:pPr>
            <w:r>
              <w:t>1.5</w:t>
            </w:r>
          </w:p>
        </w:tc>
        <w:tc>
          <w:tcPr>
            <w:tcW w:w="2340" w:type="dxa"/>
            <w:gridSpan w:val="2"/>
            <w:tcMar>
              <w:top w:w="100" w:type="dxa"/>
              <w:left w:w="100" w:type="dxa"/>
              <w:bottom w:w="100" w:type="dxa"/>
              <w:right w:w="100" w:type="dxa"/>
            </w:tcMar>
          </w:tcPr>
          <w:p w14:paraId="5E9074BA" w14:textId="77777777" w:rsidR="004F5567" w:rsidRDefault="00752DB4" w:rsidP="00DF5EC9">
            <w:pPr>
              <w:pStyle w:val="TableCellBody"/>
            </w:pPr>
            <w:r>
              <w:t>308,132</w:t>
            </w:r>
          </w:p>
        </w:tc>
        <w:tc>
          <w:tcPr>
            <w:tcW w:w="2340" w:type="dxa"/>
            <w:gridSpan w:val="2"/>
            <w:tcMar>
              <w:top w:w="100" w:type="dxa"/>
              <w:left w:w="100" w:type="dxa"/>
              <w:bottom w:w="100" w:type="dxa"/>
              <w:right w:w="100" w:type="dxa"/>
            </w:tcMar>
          </w:tcPr>
          <w:p w14:paraId="66DAF250" w14:textId="77777777" w:rsidR="004F5567" w:rsidRDefault="00752DB4" w:rsidP="00DF5EC9">
            <w:pPr>
              <w:pStyle w:val="TableCellBody"/>
            </w:pPr>
            <w:r>
              <w:t>146</w:t>
            </w:r>
          </w:p>
        </w:tc>
      </w:tr>
      <w:tr w:rsidR="004F5567" w14:paraId="62426297" w14:textId="77777777" w:rsidTr="00DF5EC9">
        <w:trPr>
          <w:gridBefore w:val="1"/>
          <w:wBefore w:w="820" w:type="dxa"/>
        </w:trPr>
        <w:tc>
          <w:tcPr>
            <w:tcW w:w="2340" w:type="dxa"/>
            <w:gridSpan w:val="2"/>
            <w:tcMar>
              <w:top w:w="100" w:type="dxa"/>
              <w:left w:w="100" w:type="dxa"/>
              <w:bottom w:w="100" w:type="dxa"/>
              <w:right w:w="100" w:type="dxa"/>
            </w:tcMar>
          </w:tcPr>
          <w:p w14:paraId="1A3750D0" w14:textId="77777777" w:rsidR="004F5567" w:rsidRDefault="00752DB4" w:rsidP="00DF5EC9">
            <w:pPr>
              <w:pStyle w:val="TableCellBody"/>
            </w:pPr>
            <w:r>
              <w:t>0.06</w:t>
            </w:r>
          </w:p>
        </w:tc>
        <w:tc>
          <w:tcPr>
            <w:tcW w:w="2340" w:type="dxa"/>
            <w:gridSpan w:val="2"/>
            <w:tcMar>
              <w:top w:w="100" w:type="dxa"/>
              <w:left w:w="100" w:type="dxa"/>
              <w:bottom w:w="100" w:type="dxa"/>
              <w:right w:w="100" w:type="dxa"/>
            </w:tcMar>
          </w:tcPr>
          <w:p w14:paraId="5723FF39" w14:textId="77777777" w:rsidR="004F5567" w:rsidRDefault="00752DB4" w:rsidP="00DF5EC9">
            <w:pPr>
              <w:pStyle w:val="TableCellBody"/>
            </w:pPr>
            <w:r>
              <w:t>(</w:t>
            </w:r>
            <w:proofErr w:type="gramStart"/>
            <w:r>
              <w:t>off</w:t>
            </w:r>
            <w:proofErr w:type="gramEnd"/>
            <w:r>
              <w:t>)</w:t>
            </w:r>
          </w:p>
        </w:tc>
        <w:tc>
          <w:tcPr>
            <w:tcW w:w="2340" w:type="dxa"/>
            <w:gridSpan w:val="2"/>
            <w:tcMar>
              <w:top w:w="100" w:type="dxa"/>
              <w:left w:w="100" w:type="dxa"/>
              <w:bottom w:w="100" w:type="dxa"/>
              <w:right w:w="100" w:type="dxa"/>
            </w:tcMar>
          </w:tcPr>
          <w:p w14:paraId="1B03085F" w14:textId="77777777" w:rsidR="004F5567" w:rsidRDefault="00752DB4" w:rsidP="00DF5EC9">
            <w:pPr>
              <w:pStyle w:val="TableCellBody"/>
            </w:pPr>
            <w:r>
              <w:t>317,470</w:t>
            </w:r>
          </w:p>
        </w:tc>
        <w:tc>
          <w:tcPr>
            <w:tcW w:w="2340" w:type="dxa"/>
            <w:gridSpan w:val="2"/>
            <w:tcMar>
              <w:top w:w="100" w:type="dxa"/>
              <w:left w:w="100" w:type="dxa"/>
              <w:bottom w:w="100" w:type="dxa"/>
              <w:right w:w="100" w:type="dxa"/>
            </w:tcMar>
          </w:tcPr>
          <w:p w14:paraId="5E64F61B" w14:textId="77777777" w:rsidR="004F5567" w:rsidRDefault="00752DB4" w:rsidP="00DF5EC9">
            <w:pPr>
              <w:pStyle w:val="TableCellBody"/>
            </w:pPr>
            <w:r>
              <w:t>159</w:t>
            </w:r>
          </w:p>
        </w:tc>
      </w:tr>
      <w:tr w:rsidR="004F5567" w14:paraId="6C306E0B" w14:textId="77777777" w:rsidTr="00DF5EC9">
        <w:trPr>
          <w:gridBefore w:val="1"/>
          <w:wBefore w:w="820" w:type="dxa"/>
        </w:trPr>
        <w:tc>
          <w:tcPr>
            <w:tcW w:w="2340" w:type="dxa"/>
            <w:gridSpan w:val="2"/>
            <w:tcMar>
              <w:top w:w="100" w:type="dxa"/>
              <w:left w:w="100" w:type="dxa"/>
              <w:bottom w:w="100" w:type="dxa"/>
              <w:right w:w="100" w:type="dxa"/>
            </w:tcMar>
          </w:tcPr>
          <w:p w14:paraId="27CD3391" w14:textId="77777777" w:rsidR="004F5567" w:rsidRDefault="00752DB4" w:rsidP="00DF5EC9">
            <w:pPr>
              <w:pStyle w:val="TableCellBody"/>
            </w:pPr>
            <w:r>
              <w:t>0.08</w:t>
            </w:r>
          </w:p>
        </w:tc>
        <w:tc>
          <w:tcPr>
            <w:tcW w:w="2340" w:type="dxa"/>
            <w:gridSpan w:val="2"/>
            <w:tcMar>
              <w:top w:w="100" w:type="dxa"/>
              <w:left w:w="100" w:type="dxa"/>
              <w:bottom w:w="100" w:type="dxa"/>
              <w:right w:w="100" w:type="dxa"/>
            </w:tcMar>
          </w:tcPr>
          <w:p w14:paraId="06400D0F" w14:textId="77777777" w:rsidR="004F5567" w:rsidRDefault="00752DB4" w:rsidP="00DF5EC9">
            <w:pPr>
              <w:pStyle w:val="TableCellBody"/>
            </w:pPr>
            <w:r>
              <w:t>1.0</w:t>
            </w:r>
          </w:p>
        </w:tc>
        <w:tc>
          <w:tcPr>
            <w:tcW w:w="2340" w:type="dxa"/>
            <w:gridSpan w:val="2"/>
            <w:tcMar>
              <w:top w:w="100" w:type="dxa"/>
              <w:left w:w="100" w:type="dxa"/>
              <w:bottom w:w="100" w:type="dxa"/>
              <w:right w:w="100" w:type="dxa"/>
            </w:tcMar>
          </w:tcPr>
          <w:p w14:paraId="6241A195" w14:textId="77777777" w:rsidR="004F5567" w:rsidRDefault="00752DB4" w:rsidP="00DF5EC9">
            <w:pPr>
              <w:pStyle w:val="TableCellBody"/>
            </w:pPr>
            <w:r>
              <w:t>293,716</w:t>
            </w:r>
          </w:p>
        </w:tc>
        <w:tc>
          <w:tcPr>
            <w:tcW w:w="2340" w:type="dxa"/>
            <w:gridSpan w:val="2"/>
            <w:tcMar>
              <w:top w:w="100" w:type="dxa"/>
              <w:left w:w="100" w:type="dxa"/>
              <w:bottom w:w="100" w:type="dxa"/>
              <w:right w:w="100" w:type="dxa"/>
            </w:tcMar>
          </w:tcPr>
          <w:p w14:paraId="0AE0C69F" w14:textId="77777777" w:rsidR="004F5567" w:rsidRDefault="00752DB4" w:rsidP="00DF5EC9">
            <w:pPr>
              <w:pStyle w:val="TableCellBody"/>
            </w:pPr>
            <w:r>
              <w:t>148</w:t>
            </w:r>
          </w:p>
        </w:tc>
      </w:tr>
      <w:tr w:rsidR="004F5567" w14:paraId="2906D3DE" w14:textId="77777777" w:rsidTr="00DF5EC9">
        <w:trPr>
          <w:gridBefore w:val="1"/>
          <w:wBefore w:w="820" w:type="dxa"/>
        </w:trPr>
        <w:tc>
          <w:tcPr>
            <w:tcW w:w="2340" w:type="dxa"/>
            <w:gridSpan w:val="2"/>
            <w:tcMar>
              <w:top w:w="100" w:type="dxa"/>
              <w:left w:w="100" w:type="dxa"/>
              <w:bottom w:w="100" w:type="dxa"/>
              <w:right w:w="100" w:type="dxa"/>
            </w:tcMar>
          </w:tcPr>
          <w:p w14:paraId="18FA8340" w14:textId="77777777" w:rsidR="004F5567" w:rsidRDefault="00752DB4" w:rsidP="00DF5EC9">
            <w:pPr>
              <w:pStyle w:val="TableCellBody"/>
            </w:pPr>
            <w:r>
              <w:t>0.08</w:t>
            </w:r>
          </w:p>
        </w:tc>
        <w:tc>
          <w:tcPr>
            <w:tcW w:w="2340" w:type="dxa"/>
            <w:gridSpan w:val="2"/>
            <w:tcMar>
              <w:top w:w="100" w:type="dxa"/>
              <w:left w:w="100" w:type="dxa"/>
              <w:bottom w:w="100" w:type="dxa"/>
              <w:right w:w="100" w:type="dxa"/>
            </w:tcMar>
          </w:tcPr>
          <w:p w14:paraId="5D89ED6A" w14:textId="77777777" w:rsidR="004F5567" w:rsidRDefault="00752DB4" w:rsidP="00DF5EC9">
            <w:pPr>
              <w:pStyle w:val="TableCellBody"/>
            </w:pPr>
            <w:r>
              <w:t>1.25</w:t>
            </w:r>
          </w:p>
        </w:tc>
        <w:tc>
          <w:tcPr>
            <w:tcW w:w="2340" w:type="dxa"/>
            <w:gridSpan w:val="2"/>
            <w:tcMar>
              <w:top w:w="100" w:type="dxa"/>
              <w:left w:w="100" w:type="dxa"/>
              <w:bottom w:w="100" w:type="dxa"/>
              <w:right w:w="100" w:type="dxa"/>
            </w:tcMar>
          </w:tcPr>
          <w:p w14:paraId="0F65DA12" w14:textId="77777777" w:rsidR="004F5567" w:rsidRDefault="00752DB4" w:rsidP="00DF5EC9">
            <w:pPr>
              <w:pStyle w:val="TableCellBody"/>
            </w:pPr>
            <w:r>
              <w:t>312,393</w:t>
            </w:r>
          </w:p>
        </w:tc>
        <w:tc>
          <w:tcPr>
            <w:tcW w:w="2340" w:type="dxa"/>
            <w:gridSpan w:val="2"/>
            <w:tcMar>
              <w:top w:w="100" w:type="dxa"/>
              <w:left w:w="100" w:type="dxa"/>
              <w:bottom w:w="100" w:type="dxa"/>
              <w:right w:w="100" w:type="dxa"/>
            </w:tcMar>
          </w:tcPr>
          <w:p w14:paraId="516BA0DB" w14:textId="77777777" w:rsidR="004F5567" w:rsidRDefault="00752DB4" w:rsidP="00DF5EC9">
            <w:pPr>
              <w:pStyle w:val="TableCellBody"/>
            </w:pPr>
            <w:r>
              <w:t>156</w:t>
            </w:r>
          </w:p>
        </w:tc>
      </w:tr>
      <w:tr w:rsidR="004F5567" w14:paraId="707F92BB" w14:textId="77777777" w:rsidTr="00DF5EC9">
        <w:trPr>
          <w:gridBefore w:val="1"/>
          <w:wBefore w:w="820" w:type="dxa"/>
        </w:trPr>
        <w:tc>
          <w:tcPr>
            <w:tcW w:w="2340" w:type="dxa"/>
            <w:gridSpan w:val="2"/>
            <w:tcMar>
              <w:top w:w="100" w:type="dxa"/>
              <w:left w:w="100" w:type="dxa"/>
              <w:bottom w:w="100" w:type="dxa"/>
              <w:right w:w="100" w:type="dxa"/>
            </w:tcMar>
          </w:tcPr>
          <w:p w14:paraId="05FAAB1E" w14:textId="77777777" w:rsidR="004F5567" w:rsidRDefault="00752DB4" w:rsidP="00DF5EC9">
            <w:pPr>
              <w:pStyle w:val="TableCellBody"/>
            </w:pPr>
            <w:r>
              <w:t>0.08</w:t>
            </w:r>
          </w:p>
        </w:tc>
        <w:tc>
          <w:tcPr>
            <w:tcW w:w="2340" w:type="dxa"/>
            <w:gridSpan w:val="2"/>
            <w:tcMar>
              <w:top w:w="100" w:type="dxa"/>
              <w:left w:w="100" w:type="dxa"/>
              <w:bottom w:w="100" w:type="dxa"/>
              <w:right w:w="100" w:type="dxa"/>
            </w:tcMar>
          </w:tcPr>
          <w:p w14:paraId="7C834B9A" w14:textId="77777777" w:rsidR="004F5567" w:rsidRDefault="00752DB4" w:rsidP="00DF5EC9">
            <w:pPr>
              <w:pStyle w:val="TableCellBody"/>
            </w:pPr>
            <w:r>
              <w:t>1.5</w:t>
            </w:r>
          </w:p>
        </w:tc>
        <w:tc>
          <w:tcPr>
            <w:tcW w:w="2340" w:type="dxa"/>
            <w:gridSpan w:val="2"/>
            <w:tcMar>
              <w:top w:w="100" w:type="dxa"/>
              <w:left w:w="100" w:type="dxa"/>
              <w:bottom w:w="100" w:type="dxa"/>
              <w:right w:w="100" w:type="dxa"/>
            </w:tcMar>
          </w:tcPr>
          <w:p w14:paraId="53F84B81" w14:textId="77777777" w:rsidR="004F5567" w:rsidRDefault="00752DB4" w:rsidP="00DF5EC9">
            <w:pPr>
              <w:pStyle w:val="TableCellBody"/>
            </w:pPr>
            <w:r>
              <w:t>323,376</w:t>
            </w:r>
          </w:p>
        </w:tc>
        <w:tc>
          <w:tcPr>
            <w:tcW w:w="2340" w:type="dxa"/>
            <w:gridSpan w:val="2"/>
            <w:tcMar>
              <w:top w:w="100" w:type="dxa"/>
              <w:left w:w="100" w:type="dxa"/>
              <w:bottom w:w="100" w:type="dxa"/>
              <w:right w:w="100" w:type="dxa"/>
            </w:tcMar>
          </w:tcPr>
          <w:p w14:paraId="777577BD" w14:textId="77777777" w:rsidR="004F5567" w:rsidRDefault="00752DB4" w:rsidP="00DF5EC9">
            <w:pPr>
              <w:pStyle w:val="TableCellBody"/>
            </w:pPr>
            <w:r>
              <w:t>164</w:t>
            </w:r>
          </w:p>
        </w:tc>
      </w:tr>
      <w:tr w:rsidR="004F5567" w14:paraId="1E1FA378" w14:textId="77777777" w:rsidTr="00DF5EC9">
        <w:trPr>
          <w:gridBefore w:val="1"/>
          <w:wBefore w:w="820" w:type="dxa"/>
        </w:trPr>
        <w:tc>
          <w:tcPr>
            <w:tcW w:w="2340" w:type="dxa"/>
            <w:gridSpan w:val="2"/>
            <w:tcMar>
              <w:top w:w="100" w:type="dxa"/>
              <w:left w:w="100" w:type="dxa"/>
              <w:bottom w:w="100" w:type="dxa"/>
              <w:right w:w="100" w:type="dxa"/>
            </w:tcMar>
          </w:tcPr>
          <w:p w14:paraId="692D008C" w14:textId="77777777" w:rsidR="004F5567" w:rsidRDefault="00752DB4" w:rsidP="00DF5EC9">
            <w:pPr>
              <w:pStyle w:val="TableCellBody"/>
            </w:pPr>
            <w:r>
              <w:t>0.08</w:t>
            </w:r>
          </w:p>
        </w:tc>
        <w:tc>
          <w:tcPr>
            <w:tcW w:w="2340" w:type="dxa"/>
            <w:gridSpan w:val="2"/>
            <w:tcMar>
              <w:top w:w="100" w:type="dxa"/>
              <w:left w:w="100" w:type="dxa"/>
              <w:bottom w:w="100" w:type="dxa"/>
              <w:right w:w="100" w:type="dxa"/>
            </w:tcMar>
          </w:tcPr>
          <w:p w14:paraId="7E7AFB5C" w14:textId="77777777" w:rsidR="004F5567" w:rsidRDefault="00752DB4" w:rsidP="00DF5EC9">
            <w:pPr>
              <w:pStyle w:val="TableCellBody"/>
            </w:pPr>
            <w:r>
              <w:t>(</w:t>
            </w:r>
            <w:proofErr w:type="gramStart"/>
            <w:r>
              <w:t>off</w:t>
            </w:r>
            <w:proofErr w:type="gramEnd"/>
            <w:r>
              <w:t>)</w:t>
            </w:r>
          </w:p>
        </w:tc>
        <w:tc>
          <w:tcPr>
            <w:tcW w:w="2340" w:type="dxa"/>
            <w:gridSpan w:val="2"/>
            <w:tcMar>
              <w:top w:w="100" w:type="dxa"/>
              <w:left w:w="100" w:type="dxa"/>
              <w:bottom w:w="100" w:type="dxa"/>
              <w:right w:w="100" w:type="dxa"/>
            </w:tcMar>
          </w:tcPr>
          <w:p w14:paraId="4F09E5F7" w14:textId="77777777" w:rsidR="004F5567" w:rsidRDefault="00752DB4" w:rsidP="00DF5EC9">
            <w:pPr>
              <w:pStyle w:val="TableCellBody"/>
            </w:pPr>
            <w:r>
              <w:t>345,929</w:t>
            </w:r>
          </w:p>
        </w:tc>
        <w:tc>
          <w:tcPr>
            <w:tcW w:w="2340" w:type="dxa"/>
            <w:gridSpan w:val="2"/>
            <w:tcMar>
              <w:top w:w="100" w:type="dxa"/>
              <w:left w:w="100" w:type="dxa"/>
              <w:bottom w:w="100" w:type="dxa"/>
              <w:right w:w="100" w:type="dxa"/>
            </w:tcMar>
          </w:tcPr>
          <w:p w14:paraId="49C82426" w14:textId="77777777" w:rsidR="004F5567" w:rsidRDefault="00752DB4" w:rsidP="00DF5EC9">
            <w:pPr>
              <w:pStyle w:val="TableCellBody"/>
            </w:pPr>
            <w:r>
              <w:t>185</w:t>
            </w:r>
          </w:p>
        </w:tc>
      </w:tr>
      <w:tr w:rsidR="004F5567" w14:paraId="4D6540FD" w14:textId="77777777" w:rsidTr="00DF5EC9">
        <w:trPr>
          <w:gridBefore w:val="1"/>
          <w:wBefore w:w="820" w:type="dxa"/>
        </w:trPr>
        <w:tc>
          <w:tcPr>
            <w:tcW w:w="2340" w:type="dxa"/>
            <w:gridSpan w:val="2"/>
            <w:tcMar>
              <w:top w:w="100" w:type="dxa"/>
              <w:left w:w="100" w:type="dxa"/>
              <w:bottom w:w="100" w:type="dxa"/>
              <w:right w:w="100" w:type="dxa"/>
            </w:tcMar>
          </w:tcPr>
          <w:p w14:paraId="3ECEE805" w14:textId="77777777" w:rsidR="004F5567" w:rsidRDefault="00752DB4" w:rsidP="00DF5EC9">
            <w:pPr>
              <w:pStyle w:val="TableCellBody"/>
            </w:pPr>
            <w:r>
              <w:t>0.1</w:t>
            </w:r>
          </w:p>
        </w:tc>
        <w:tc>
          <w:tcPr>
            <w:tcW w:w="2340" w:type="dxa"/>
            <w:gridSpan w:val="2"/>
            <w:tcMar>
              <w:top w:w="100" w:type="dxa"/>
              <w:left w:w="100" w:type="dxa"/>
              <w:bottom w:w="100" w:type="dxa"/>
              <w:right w:w="100" w:type="dxa"/>
            </w:tcMar>
          </w:tcPr>
          <w:p w14:paraId="22A7CEDA" w14:textId="77777777" w:rsidR="004F5567" w:rsidRDefault="00752DB4" w:rsidP="00DF5EC9">
            <w:pPr>
              <w:pStyle w:val="TableCellBody"/>
            </w:pPr>
            <w:r>
              <w:t>1.0</w:t>
            </w:r>
          </w:p>
        </w:tc>
        <w:tc>
          <w:tcPr>
            <w:tcW w:w="2340" w:type="dxa"/>
            <w:gridSpan w:val="2"/>
            <w:tcMar>
              <w:top w:w="100" w:type="dxa"/>
              <w:left w:w="100" w:type="dxa"/>
              <w:bottom w:w="100" w:type="dxa"/>
              <w:right w:w="100" w:type="dxa"/>
            </w:tcMar>
          </w:tcPr>
          <w:p w14:paraId="1AB73C2B" w14:textId="77777777" w:rsidR="004F5567" w:rsidRDefault="00752DB4" w:rsidP="00DF5EC9">
            <w:pPr>
              <w:pStyle w:val="TableCellBody"/>
            </w:pPr>
            <w:r>
              <w:t>300,194</w:t>
            </w:r>
          </w:p>
        </w:tc>
        <w:tc>
          <w:tcPr>
            <w:tcW w:w="2340" w:type="dxa"/>
            <w:gridSpan w:val="2"/>
            <w:tcMar>
              <w:top w:w="100" w:type="dxa"/>
              <w:left w:w="100" w:type="dxa"/>
              <w:bottom w:w="100" w:type="dxa"/>
              <w:right w:w="100" w:type="dxa"/>
            </w:tcMar>
          </w:tcPr>
          <w:p w14:paraId="028BEF3A" w14:textId="77777777" w:rsidR="004F5567" w:rsidRDefault="00752DB4" w:rsidP="00DF5EC9">
            <w:pPr>
              <w:pStyle w:val="TableCellBody"/>
            </w:pPr>
            <w:r>
              <w:t>152</w:t>
            </w:r>
          </w:p>
        </w:tc>
      </w:tr>
      <w:tr w:rsidR="004F5567" w14:paraId="3CDC4E13" w14:textId="77777777" w:rsidTr="00DF5EC9">
        <w:trPr>
          <w:gridBefore w:val="1"/>
          <w:wBefore w:w="820" w:type="dxa"/>
        </w:trPr>
        <w:tc>
          <w:tcPr>
            <w:tcW w:w="2340" w:type="dxa"/>
            <w:gridSpan w:val="2"/>
            <w:tcMar>
              <w:top w:w="100" w:type="dxa"/>
              <w:left w:w="100" w:type="dxa"/>
              <w:bottom w:w="100" w:type="dxa"/>
              <w:right w:w="100" w:type="dxa"/>
            </w:tcMar>
          </w:tcPr>
          <w:p w14:paraId="407AF73D" w14:textId="77777777" w:rsidR="004F5567" w:rsidRDefault="00752DB4" w:rsidP="00DF5EC9">
            <w:pPr>
              <w:pStyle w:val="TableCellBody"/>
            </w:pPr>
            <w:r>
              <w:t>0.1</w:t>
            </w:r>
          </w:p>
        </w:tc>
        <w:tc>
          <w:tcPr>
            <w:tcW w:w="2340" w:type="dxa"/>
            <w:gridSpan w:val="2"/>
            <w:tcMar>
              <w:top w:w="100" w:type="dxa"/>
              <w:left w:w="100" w:type="dxa"/>
              <w:bottom w:w="100" w:type="dxa"/>
              <w:right w:w="100" w:type="dxa"/>
            </w:tcMar>
          </w:tcPr>
          <w:p w14:paraId="486BBB06" w14:textId="77777777" w:rsidR="004F5567" w:rsidRDefault="00752DB4" w:rsidP="00DF5EC9">
            <w:pPr>
              <w:pStyle w:val="TableCellBody"/>
            </w:pPr>
            <w:r>
              <w:t>1.25</w:t>
            </w:r>
          </w:p>
        </w:tc>
        <w:tc>
          <w:tcPr>
            <w:tcW w:w="2340" w:type="dxa"/>
            <w:gridSpan w:val="2"/>
            <w:tcMar>
              <w:top w:w="100" w:type="dxa"/>
              <w:left w:w="100" w:type="dxa"/>
              <w:bottom w:w="100" w:type="dxa"/>
              <w:right w:w="100" w:type="dxa"/>
            </w:tcMar>
          </w:tcPr>
          <w:p w14:paraId="67F2A32E" w14:textId="77777777" w:rsidR="004F5567" w:rsidRDefault="00752DB4" w:rsidP="00DF5EC9">
            <w:pPr>
              <w:pStyle w:val="TableCellBody"/>
            </w:pPr>
            <w:r>
              <w:t>319,295</w:t>
            </w:r>
          </w:p>
        </w:tc>
        <w:tc>
          <w:tcPr>
            <w:tcW w:w="2340" w:type="dxa"/>
            <w:gridSpan w:val="2"/>
            <w:tcMar>
              <w:top w:w="100" w:type="dxa"/>
              <w:left w:w="100" w:type="dxa"/>
              <w:bottom w:w="100" w:type="dxa"/>
              <w:right w:w="100" w:type="dxa"/>
            </w:tcMar>
          </w:tcPr>
          <w:p w14:paraId="626AF8EC" w14:textId="77777777" w:rsidR="004F5567" w:rsidRDefault="00752DB4" w:rsidP="00DF5EC9">
            <w:pPr>
              <w:pStyle w:val="TableCellBody"/>
            </w:pPr>
            <w:r>
              <w:t>163</w:t>
            </w:r>
          </w:p>
        </w:tc>
      </w:tr>
      <w:tr w:rsidR="004F5567" w14:paraId="40AE59F7" w14:textId="77777777" w:rsidTr="00E904C4">
        <w:trPr>
          <w:gridBefore w:val="1"/>
          <w:wBefore w:w="820" w:type="dxa"/>
        </w:trPr>
        <w:tc>
          <w:tcPr>
            <w:tcW w:w="2340" w:type="dxa"/>
            <w:gridSpan w:val="2"/>
            <w:tcMar>
              <w:top w:w="100" w:type="dxa"/>
              <w:left w:w="100" w:type="dxa"/>
              <w:bottom w:w="100" w:type="dxa"/>
              <w:right w:w="100" w:type="dxa"/>
            </w:tcMar>
          </w:tcPr>
          <w:p w14:paraId="6AAC0EA9" w14:textId="77777777" w:rsidR="004F5567" w:rsidRDefault="00752DB4" w:rsidP="00DF5EC9">
            <w:pPr>
              <w:pStyle w:val="TableCellBody"/>
            </w:pPr>
            <w:r>
              <w:t>0.1</w:t>
            </w:r>
          </w:p>
        </w:tc>
        <w:tc>
          <w:tcPr>
            <w:tcW w:w="2340" w:type="dxa"/>
            <w:gridSpan w:val="2"/>
            <w:tcMar>
              <w:top w:w="100" w:type="dxa"/>
              <w:left w:w="100" w:type="dxa"/>
              <w:bottom w:w="100" w:type="dxa"/>
              <w:right w:w="100" w:type="dxa"/>
            </w:tcMar>
          </w:tcPr>
          <w:p w14:paraId="65BB487A" w14:textId="77777777" w:rsidR="004F5567" w:rsidRDefault="00752DB4" w:rsidP="00DF5EC9">
            <w:pPr>
              <w:pStyle w:val="TableCellBody"/>
            </w:pPr>
            <w:r>
              <w:t>1.5</w:t>
            </w:r>
          </w:p>
        </w:tc>
        <w:tc>
          <w:tcPr>
            <w:tcW w:w="2340" w:type="dxa"/>
            <w:gridSpan w:val="2"/>
            <w:tcMar>
              <w:top w:w="100" w:type="dxa"/>
              <w:left w:w="100" w:type="dxa"/>
              <w:bottom w:w="100" w:type="dxa"/>
              <w:right w:w="100" w:type="dxa"/>
            </w:tcMar>
          </w:tcPr>
          <w:p w14:paraId="5CD85D6A" w14:textId="77777777" w:rsidR="004F5567" w:rsidRDefault="00752DB4" w:rsidP="00DF5EC9">
            <w:pPr>
              <w:pStyle w:val="TableCellBody"/>
            </w:pPr>
            <w:r>
              <w:t>330,738</w:t>
            </w:r>
          </w:p>
        </w:tc>
        <w:tc>
          <w:tcPr>
            <w:tcW w:w="2340" w:type="dxa"/>
            <w:gridSpan w:val="2"/>
            <w:tcMar>
              <w:top w:w="100" w:type="dxa"/>
              <w:left w:w="100" w:type="dxa"/>
              <w:bottom w:w="100" w:type="dxa"/>
              <w:right w:w="100" w:type="dxa"/>
            </w:tcMar>
          </w:tcPr>
          <w:p w14:paraId="73849754" w14:textId="77777777" w:rsidR="004F5567" w:rsidRDefault="00752DB4" w:rsidP="00DF5EC9">
            <w:pPr>
              <w:pStyle w:val="TableCellBody"/>
            </w:pPr>
            <w:r>
              <w:t>173</w:t>
            </w:r>
          </w:p>
        </w:tc>
      </w:tr>
      <w:tr w:rsidR="004F5567" w14:paraId="209C0587" w14:textId="77777777" w:rsidTr="00E904C4">
        <w:trPr>
          <w:gridBefore w:val="1"/>
          <w:wBefore w:w="820" w:type="dxa"/>
        </w:trPr>
        <w:tc>
          <w:tcPr>
            <w:tcW w:w="2340" w:type="dxa"/>
            <w:gridSpan w:val="2"/>
            <w:tcBorders>
              <w:bottom w:val="single" w:sz="4" w:space="0" w:color="auto"/>
            </w:tcBorders>
            <w:tcMar>
              <w:top w:w="100" w:type="dxa"/>
              <w:left w:w="100" w:type="dxa"/>
              <w:bottom w:w="100" w:type="dxa"/>
              <w:right w:w="100" w:type="dxa"/>
            </w:tcMar>
          </w:tcPr>
          <w:p w14:paraId="7BBE3AA9" w14:textId="77777777" w:rsidR="004F5567" w:rsidRDefault="00752DB4" w:rsidP="00DF5EC9">
            <w:pPr>
              <w:pStyle w:val="TableCellBody"/>
            </w:pPr>
            <w:r>
              <w:t>0.1</w:t>
            </w:r>
          </w:p>
        </w:tc>
        <w:tc>
          <w:tcPr>
            <w:tcW w:w="2340" w:type="dxa"/>
            <w:gridSpan w:val="2"/>
            <w:tcBorders>
              <w:bottom w:val="single" w:sz="4" w:space="0" w:color="auto"/>
            </w:tcBorders>
            <w:tcMar>
              <w:top w:w="100" w:type="dxa"/>
              <w:left w:w="100" w:type="dxa"/>
              <w:bottom w:w="100" w:type="dxa"/>
              <w:right w:w="100" w:type="dxa"/>
            </w:tcMar>
          </w:tcPr>
          <w:p w14:paraId="4BDD4EBE" w14:textId="77777777" w:rsidR="004F5567" w:rsidRDefault="00752DB4" w:rsidP="00DF5EC9">
            <w:pPr>
              <w:pStyle w:val="TableCellBody"/>
            </w:pPr>
            <w:r>
              <w:t>(</w:t>
            </w:r>
            <w:proofErr w:type="gramStart"/>
            <w:r>
              <w:t>off</w:t>
            </w:r>
            <w:proofErr w:type="gramEnd"/>
            <w:r>
              <w:t>)</w:t>
            </w:r>
          </w:p>
        </w:tc>
        <w:tc>
          <w:tcPr>
            <w:tcW w:w="2340" w:type="dxa"/>
            <w:gridSpan w:val="2"/>
            <w:tcBorders>
              <w:bottom w:val="single" w:sz="4" w:space="0" w:color="auto"/>
            </w:tcBorders>
            <w:tcMar>
              <w:top w:w="100" w:type="dxa"/>
              <w:left w:w="100" w:type="dxa"/>
              <w:bottom w:w="100" w:type="dxa"/>
              <w:right w:w="100" w:type="dxa"/>
            </w:tcMar>
          </w:tcPr>
          <w:p w14:paraId="0422B7DA" w14:textId="77777777" w:rsidR="004F5567" w:rsidRDefault="00752DB4" w:rsidP="00DF5EC9">
            <w:pPr>
              <w:pStyle w:val="TableCellBody"/>
            </w:pPr>
            <w:r>
              <w:t>357,339</w:t>
            </w:r>
          </w:p>
        </w:tc>
        <w:tc>
          <w:tcPr>
            <w:tcW w:w="2340" w:type="dxa"/>
            <w:gridSpan w:val="2"/>
            <w:tcBorders>
              <w:bottom w:val="single" w:sz="4" w:space="0" w:color="auto"/>
            </w:tcBorders>
            <w:tcMar>
              <w:top w:w="100" w:type="dxa"/>
              <w:left w:w="100" w:type="dxa"/>
              <w:bottom w:w="100" w:type="dxa"/>
              <w:right w:w="100" w:type="dxa"/>
            </w:tcMar>
          </w:tcPr>
          <w:p w14:paraId="42F3DE18" w14:textId="77777777" w:rsidR="004F5567" w:rsidRDefault="00752DB4" w:rsidP="00DF5EC9">
            <w:pPr>
              <w:pStyle w:val="TableCellBody"/>
            </w:pPr>
            <w:r>
              <w:t>200</w:t>
            </w:r>
          </w:p>
        </w:tc>
      </w:tr>
    </w:tbl>
    <w:p w14:paraId="06107CF4" w14:textId="77777777" w:rsidR="00E904C4" w:rsidRDefault="00E904C4" w:rsidP="000E6CDE">
      <w:pPr>
        <w:pStyle w:val="BodyText"/>
      </w:pPr>
    </w:p>
    <w:p w14:paraId="625957EC" w14:textId="25CF30FF" w:rsidR="004F5567" w:rsidRDefault="00752DB4" w:rsidP="000E6CDE">
      <w:pPr>
        <w:pStyle w:val="BodyText"/>
      </w:pPr>
      <w:r>
        <w:t>The cutoff parameters used in the Coulomb filter (</w:t>
      </w:r>
      <w:r w:rsidR="00335843">
        <w:t xml:space="preserve">table </w:t>
      </w:r>
      <w:r w:rsidR="002857B7">
        <w:t>T</w:t>
      </w:r>
      <w:r>
        <w:t>3</w:t>
      </w:r>
      <w:r w:rsidR="00831B28">
        <w:t>, shown in bold,</w:t>
      </w:r>
      <w:r>
        <w:t>) were chosen because they define a minimal rupture set that allows all of the probable fault section connections</w:t>
      </w:r>
      <w:r w:rsidR="00F43003">
        <w:t>,</w:t>
      </w:r>
      <w:r>
        <w:t xml:space="preserve"> identified at the UCERF </w:t>
      </w:r>
      <w:r w:rsidR="00993148">
        <w:t>f</w:t>
      </w:r>
      <w:r>
        <w:t xml:space="preserve">ault-by-fault evaluation.  Examples of ruptures allowed by </w:t>
      </w:r>
      <w:r>
        <w:lastRenderedPageBreak/>
        <w:t xml:space="preserve">this set of parameters (but excluded by more stringent Coulomb parameters) are shown in </w:t>
      </w:r>
      <w:r w:rsidR="00335843">
        <w:t xml:space="preserve">figure </w:t>
      </w:r>
      <w:r w:rsidR="002857B7">
        <w:t>T</w:t>
      </w:r>
      <w:r>
        <w:t>7.</w:t>
      </w:r>
    </w:p>
    <w:p w14:paraId="188EDAE5" w14:textId="77777777" w:rsidR="004F5567" w:rsidRDefault="004F5567"/>
    <w:p w14:paraId="3B7034B8" w14:textId="77777777" w:rsidR="004F5567" w:rsidRDefault="00752DB4">
      <w:r>
        <w:rPr>
          <w:noProof/>
        </w:rPr>
        <w:drawing>
          <wp:inline distT="0" distB="0" distL="0" distR="0" wp14:anchorId="7739A1E5" wp14:editId="7904CE77">
            <wp:extent cx="6038850" cy="1933575"/>
            <wp:effectExtent l="0" t="0" r="0" b="0"/>
            <wp:docPr id="1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5"/>
                    <a:stretch>
                      <a:fillRect/>
                    </a:stretch>
                  </pic:blipFill>
                  <pic:spPr>
                    <a:xfrm>
                      <a:off x="0" y="0"/>
                      <a:ext cx="6038850" cy="1933575"/>
                    </a:xfrm>
                    <a:prstGeom prst="rect">
                      <a:avLst/>
                    </a:prstGeom>
                  </pic:spPr>
                </pic:pic>
              </a:graphicData>
            </a:graphic>
          </wp:inline>
        </w:drawing>
      </w:r>
    </w:p>
    <w:p w14:paraId="5AA35327" w14:textId="77777777" w:rsidR="004F5567" w:rsidRDefault="00993148" w:rsidP="00D01D58">
      <w:pPr>
        <w:pStyle w:val="FigureCaption"/>
      </w:pPr>
      <w:r>
        <w:t>Illustration showing</w:t>
      </w:r>
      <w:r w:rsidR="00335843">
        <w:t xml:space="preserve"> </w:t>
      </w:r>
      <w:r>
        <w:t>e</w:t>
      </w:r>
      <w:r w:rsidR="00752DB4">
        <w:t xml:space="preserve">xample ruptures included by the Coulomb filter; Coulomb filter parameters were chosen to include junctions such as </w:t>
      </w:r>
      <w:r w:rsidR="00335843">
        <w:t>(</w:t>
      </w:r>
      <w:r w:rsidR="00752DB4">
        <w:t xml:space="preserve">a) Hayward </w:t>
      </w:r>
      <w:r w:rsidR="004E3512">
        <w:t xml:space="preserve">Fault </w:t>
      </w:r>
      <w:r w:rsidR="00752DB4">
        <w:t>to Calaveras</w:t>
      </w:r>
      <w:r w:rsidR="004E3512">
        <w:t xml:space="preserve"> Fault</w:t>
      </w:r>
      <w:r w:rsidR="00752DB4">
        <w:t xml:space="preserve">, </w:t>
      </w:r>
      <w:r w:rsidR="00335843">
        <w:t>(</w:t>
      </w:r>
      <w:r w:rsidR="00752DB4">
        <w:t>b) Newport-Inglewood</w:t>
      </w:r>
      <w:r w:rsidR="004E3512">
        <w:t xml:space="preserve"> Fault</w:t>
      </w:r>
      <w:r w:rsidR="00752DB4">
        <w:t xml:space="preserve">, and </w:t>
      </w:r>
      <w:r w:rsidR="00335843">
        <w:t>(</w:t>
      </w:r>
      <w:r w:rsidR="00752DB4">
        <w:t xml:space="preserve">c) Death Valley </w:t>
      </w:r>
      <w:r w:rsidR="004E3512">
        <w:t xml:space="preserve">Fault </w:t>
      </w:r>
      <w:r w:rsidR="00752DB4">
        <w:t>to Baker</w:t>
      </w:r>
      <w:r w:rsidR="004E3512">
        <w:t xml:space="preserve"> Fault</w:t>
      </w:r>
      <w:r w:rsidR="00752DB4">
        <w:t>.</w:t>
      </w:r>
    </w:p>
    <w:p w14:paraId="6744BFAA" w14:textId="77777777" w:rsidR="004F5567" w:rsidRDefault="00752DB4" w:rsidP="000E6CDE">
      <w:pPr>
        <w:pStyle w:val="Heading1"/>
      </w:pPr>
      <w:r>
        <w:t>Characteristics of the Final Rupture Set</w:t>
      </w:r>
    </w:p>
    <w:p w14:paraId="5379DDB5" w14:textId="61DFCF7D" w:rsidR="004F5567" w:rsidRDefault="00752DB4" w:rsidP="000E6CDE">
      <w:pPr>
        <w:pStyle w:val="BodyText"/>
      </w:pPr>
      <w:r>
        <w:t xml:space="preserve">The set of ruptures that satisfies all of the criteria </w:t>
      </w:r>
      <w:r w:rsidR="00EB347C">
        <w:t xml:space="preserve">previously </w:t>
      </w:r>
      <w:r w:rsidR="003F0F70">
        <w:t xml:space="preserve">mentioned </w:t>
      </w:r>
      <w:r>
        <w:t xml:space="preserve">is used as input to the Grand Inversion </w:t>
      </w:r>
      <w:r w:rsidR="004851AB">
        <w:t xml:space="preserve">that </w:t>
      </w:r>
      <w:r>
        <w:t xml:space="preserve">solves for the rate of each rupture. One side effect of the subsection discretization is that the majority of the ruptures are very long. A histogram of rupture lengths both as discretized (before inversion) and convolved with the UCERF3 rupture rates is shown in </w:t>
      </w:r>
      <w:r w:rsidR="00335843">
        <w:t xml:space="preserve">figure </w:t>
      </w:r>
      <w:r w:rsidR="002857B7">
        <w:t>T</w:t>
      </w:r>
      <w:r>
        <w:t xml:space="preserve">8. Figure </w:t>
      </w:r>
      <w:r w:rsidR="002857B7">
        <w:t>T</w:t>
      </w:r>
      <w:r>
        <w:t xml:space="preserve">9 shows all fault sections </w:t>
      </w:r>
      <w:r w:rsidR="004851AB">
        <w:t xml:space="preserve">that </w:t>
      </w:r>
      <w:r>
        <w:t>rupture with the Coachella section of the San Andreas Fault after applying the</w:t>
      </w:r>
      <w:r w:rsidR="003F0F70">
        <w:t xml:space="preserve"> previously mentioned</w:t>
      </w:r>
      <w:r>
        <w:t xml:space="preserve"> rules. This </w:t>
      </w:r>
      <w:r w:rsidR="004A3640">
        <w:t xml:space="preserve">shows </w:t>
      </w:r>
      <w:r>
        <w:t xml:space="preserve">how the Grand Inversion reduces the rate of long and multi-fault ruptures relative to their frequency in the initial rupture set.  In particular, </w:t>
      </w:r>
      <w:r w:rsidR="00335843">
        <w:t xml:space="preserve">figure </w:t>
      </w:r>
      <w:r w:rsidR="002857B7">
        <w:t>T</w:t>
      </w:r>
      <w:r>
        <w:t xml:space="preserve">9 </w:t>
      </w:r>
      <w:r w:rsidR="004A3640">
        <w:t xml:space="preserve">shows </w:t>
      </w:r>
      <w:r>
        <w:t xml:space="preserve">that slip-rate differences between faults strongly control the rate of multi-fault ruptures, as </w:t>
      </w:r>
      <w:r w:rsidR="004A3640">
        <w:t xml:space="preserve">indicated </w:t>
      </w:r>
      <w:r>
        <w:t>in the inversion-modified rates of ruptures connecting the San Andreas</w:t>
      </w:r>
      <w:r w:rsidR="00831B28">
        <w:t xml:space="preserve"> Fault</w:t>
      </w:r>
      <w:r>
        <w:t xml:space="preserve"> to secondary</w:t>
      </w:r>
      <w:r w:rsidR="00335843">
        <w:t xml:space="preserve"> </w:t>
      </w:r>
      <w:r>
        <w:t>faults</w:t>
      </w:r>
      <w:r w:rsidR="004E3512">
        <w:t xml:space="preserve"> with lower slip rates</w:t>
      </w:r>
      <w:r w:rsidR="00335843">
        <w:t>.</w:t>
      </w:r>
    </w:p>
    <w:p w14:paraId="053B59C0" w14:textId="77777777" w:rsidR="004F5567" w:rsidRDefault="004F5567"/>
    <w:p w14:paraId="50EECAEE" w14:textId="77777777" w:rsidR="004F5567" w:rsidRDefault="00752DB4" w:rsidP="00970299">
      <w:r>
        <w:rPr>
          <w:noProof/>
        </w:rPr>
        <w:drawing>
          <wp:inline distT="0" distB="0" distL="0" distR="0" wp14:anchorId="4871AA3C" wp14:editId="2DEBF1E3">
            <wp:extent cx="5029200" cy="3234951"/>
            <wp:effectExtent l="0" t="0" r="0" b="0"/>
            <wp:docPr id="1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030013" cy="3235474"/>
                    </a:xfrm>
                    <a:prstGeom prst="rect">
                      <a:avLst/>
                    </a:prstGeom>
                  </pic:spPr>
                </pic:pic>
              </a:graphicData>
            </a:graphic>
          </wp:inline>
        </w:drawing>
      </w:r>
    </w:p>
    <w:p w14:paraId="73EBDE6E" w14:textId="77777777" w:rsidR="004F5567" w:rsidRDefault="004F5567"/>
    <w:p w14:paraId="124AADAF" w14:textId="77777777" w:rsidR="00970299" w:rsidRDefault="00752DB4" w:rsidP="00970299">
      <w:r>
        <w:rPr>
          <w:noProof/>
        </w:rPr>
        <w:drawing>
          <wp:inline distT="0" distB="0" distL="0" distR="0" wp14:anchorId="51125BA5" wp14:editId="01209B71">
            <wp:extent cx="5005558" cy="3219743"/>
            <wp:effectExtent l="0" t="0" r="0" b="635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006408" cy="3220290"/>
                    </a:xfrm>
                    <a:prstGeom prst="rect">
                      <a:avLst/>
                    </a:prstGeom>
                  </pic:spPr>
                </pic:pic>
              </a:graphicData>
            </a:graphic>
          </wp:inline>
        </w:drawing>
      </w:r>
    </w:p>
    <w:p w14:paraId="1CA4C9E3" w14:textId="25059911" w:rsidR="004F5567" w:rsidRDefault="00752DB4" w:rsidP="00D01D58">
      <w:pPr>
        <w:pStyle w:val="FigureCaption"/>
      </w:pPr>
      <w:r>
        <w:t>Rupture length histograms for</w:t>
      </w:r>
      <w:r w:rsidR="00831B28">
        <w:t xml:space="preserve"> Uniform California Earthquake Rupture Forecast, version 3,</w:t>
      </w:r>
      <w:r>
        <w:t xml:space="preserve"> </w:t>
      </w:r>
      <w:r w:rsidR="00831B28">
        <w:t>(</w:t>
      </w:r>
      <w:r w:rsidR="00335843">
        <w:t>UCERF3</w:t>
      </w:r>
      <w:r w:rsidR="00831B28">
        <w:t>)</w:t>
      </w:r>
      <w:r w:rsidR="00335843">
        <w:t xml:space="preserve"> </w:t>
      </w:r>
      <w:r w:rsidR="00EC54E8">
        <w:t>F</w:t>
      </w:r>
      <w:r w:rsidR="00335843">
        <w:t xml:space="preserve">ault </w:t>
      </w:r>
      <w:r w:rsidR="00EC54E8">
        <w:t>M</w:t>
      </w:r>
      <w:r w:rsidR="00335843">
        <w:t>odel</w:t>
      </w:r>
      <w:r w:rsidR="004A3640">
        <w:t xml:space="preserve">, </w:t>
      </w:r>
      <w:proofErr w:type="gramStart"/>
      <w:r w:rsidR="004A3640">
        <w:t>version 3.1</w:t>
      </w:r>
      <w:proofErr w:type="gramEnd"/>
      <w:r w:rsidR="00335843">
        <w:t xml:space="preserve"> </w:t>
      </w:r>
      <w:r w:rsidR="004A3640">
        <w:t>(</w:t>
      </w:r>
      <w:r w:rsidR="00335843">
        <w:t>FM</w:t>
      </w:r>
      <w:r>
        <w:t>3.1</w:t>
      </w:r>
      <w:r w:rsidR="004A3640">
        <w:t>)</w:t>
      </w:r>
      <w:r>
        <w:t xml:space="preserve">. </w:t>
      </w:r>
      <w:r w:rsidR="00EB347C">
        <w:t>(a)</w:t>
      </w:r>
      <w:r>
        <w:t xml:space="preserve"> </w:t>
      </w:r>
      <w:proofErr w:type="gramStart"/>
      <w:r>
        <w:t>shows</w:t>
      </w:r>
      <w:proofErr w:type="gramEnd"/>
      <w:r>
        <w:t xml:space="preserve"> the distribution of lengths as discretized in the </w:t>
      </w:r>
      <w:proofErr w:type="spellStart"/>
      <w:r>
        <w:t>uninverted</w:t>
      </w:r>
      <w:proofErr w:type="spellEnd"/>
      <w:r>
        <w:t xml:space="preserve"> rupture set</w:t>
      </w:r>
      <w:r w:rsidR="0032145A">
        <w:t xml:space="preserve"> (with equal weight assigned to each rupture</w:t>
      </w:r>
      <w:r w:rsidR="004E2DD5">
        <w:t xml:space="preserve"> as opposed to post-inversi</w:t>
      </w:r>
      <w:r w:rsidR="00AC4F70">
        <w:t>o</w:t>
      </w:r>
      <w:r w:rsidR="004E2DD5">
        <w:t>n rupture rates</w:t>
      </w:r>
      <w:r w:rsidR="0032145A">
        <w:t>)</w:t>
      </w:r>
      <w:r>
        <w:t xml:space="preserve">. </w:t>
      </w:r>
      <w:r w:rsidR="00EB347C">
        <w:t xml:space="preserve">(b) </w:t>
      </w:r>
      <w:proofErr w:type="gramStart"/>
      <w:r>
        <w:t>shows</w:t>
      </w:r>
      <w:proofErr w:type="gramEnd"/>
      <w:r>
        <w:t xml:space="preserve"> the total rate of each rupture in each length bin for the UCERF3 model.</w:t>
      </w:r>
    </w:p>
    <w:p w14:paraId="23594AD2" w14:textId="77777777" w:rsidR="00FC4CD5" w:rsidRDefault="00FC4CD5">
      <w:pPr>
        <w:jc w:val="center"/>
      </w:pPr>
      <w:r w:rsidRPr="00FC4CD5">
        <w:rPr>
          <w:noProof/>
        </w:rPr>
        <w:lastRenderedPageBreak/>
        <w:drawing>
          <wp:inline distT="0" distB="0" distL="0" distR="0" wp14:anchorId="3A3BC482" wp14:editId="3C47DD86">
            <wp:extent cx="4989443" cy="3940598"/>
            <wp:effectExtent l="0" t="0" r="0" b="0"/>
            <wp:docPr id="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4989981" cy="3941023"/>
                    </a:xfrm>
                    <a:prstGeom prst="rect">
                      <a:avLst/>
                    </a:prstGeom>
                  </pic:spPr>
                </pic:pic>
              </a:graphicData>
            </a:graphic>
          </wp:inline>
        </w:drawing>
      </w:r>
    </w:p>
    <w:p w14:paraId="6BE4A368" w14:textId="77777777" w:rsidR="00FC4CD5" w:rsidRDefault="00FC4CD5">
      <w:pPr>
        <w:jc w:val="center"/>
      </w:pPr>
    </w:p>
    <w:p w14:paraId="0C0262B6" w14:textId="33981183" w:rsidR="004F5567" w:rsidRDefault="00752DB4">
      <w:pPr>
        <w:jc w:val="center"/>
      </w:pPr>
      <w:r>
        <w:rPr>
          <w:noProof/>
        </w:rPr>
        <w:drawing>
          <wp:inline distT="0" distB="0" distL="0" distR="0" wp14:anchorId="27B9C79F" wp14:editId="1F7695B0">
            <wp:extent cx="5065288" cy="4000500"/>
            <wp:effectExtent l="0" t="0" r="0" b="0"/>
            <wp:docPr id="9"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065568" cy="4000721"/>
                    </a:xfrm>
                    <a:prstGeom prst="rect">
                      <a:avLst/>
                    </a:prstGeom>
                  </pic:spPr>
                </pic:pic>
              </a:graphicData>
            </a:graphic>
          </wp:inline>
        </w:drawing>
      </w:r>
    </w:p>
    <w:p w14:paraId="52919564" w14:textId="25097850" w:rsidR="004F5567" w:rsidRDefault="00335843" w:rsidP="00D01D58">
      <w:pPr>
        <w:pStyle w:val="FigureCaption"/>
      </w:pPr>
      <w:r>
        <w:lastRenderedPageBreak/>
        <w:t xml:space="preserve"> </w:t>
      </w:r>
      <w:r w:rsidR="00993148">
        <w:t xml:space="preserve">Illustrations </w:t>
      </w:r>
      <w:r w:rsidR="00752DB4">
        <w:t>show</w:t>
      </w:r>
      <w:r w:rsidR="00993148">
        <w:t>ing</w:t>
      </w:r>
      <w:r w:rsidR="00752DB4">
        <w:t xml:space="preserve"> the number and rates of ruptures which involve a subsection on the Coachella section of the San Andreas Fault (highlighted in black and with an arrow) for </w:t>
      </w:r>
      <w:r w:rsidR="00993148">
        <w:t>Uniform California Earthquake Rupture Forecast, version 3, (</w:t>
      </w:r>
      <w:r>
        <w:t>UCERF3</w:t>
      </w:r>
      <w:r w:rsidR="00993148">
        <w:t>)</w:t>
      </w:r>
      <w:r>
        <w:t xml:space="preserve"> </w:t>
      </w:r>
      <w:r w:rsidR="00EC54E8">
        <w:t>F</w:t>
      </w:r>
      <w:r>
        <w:t xml:space="preserve">ault </w:t>
      </w:r>
      <w:r w:rsidR="00EC54E8">
        <w:t>M</w:t>
      </w:r>
      <w:r>
        <w:t>odel</w:t>
      </w:r>
      <w:r w:rsidR="00AC4F70">
        <w:t>, version 3.1</w:t>
      </w:r>
      <w:r>
        <w:t xml:space="preserve"> </w:t>
      </w:r>
      <w:r w:rsidR="00AC4F70">
        <w:t>(</w:t>
      </w:r>
      <w:r>
        <w:t>FM</w:t>
      </w:r>
      <w:r w:rsidR="00752DB4">
        <w:t>3.1</w:t>
      </w:r>
      <w:r w:rsidR="00AC4F70">
        <w:t>)</w:t>
      </w:r>
      <w:r w:rsidR="00752DB4">
        <w:t xml:space="preserve">. Each subsection in </w:t>
      </w:r>
      <w:r w:rsidR="00EB347C">
        <w:t>(a)</w:t>
      </w:r>
      <w:r w:rsidR="00AC4F70">
        <w:t xml:space="preserve"> </w:t>
      </w:r>
      <w:r w:rsidR="00752DB4">
        <w:t>is colored according to the number of ruptures it participates in</w:t>
      </w:r>
      <w:r w:rsidR="00AC4F70">
        <w:t>,</w:t>
      </w:r>
      <w:r w:rsidR="00752DB4">
        <w:t xml:space="preserve"> includ</w:t>
      </w:r>
      <w:r w:rsidR="00AC4F70">
        <w:t>ing</w:t>
      </w:r>
      <w:r w:rsidR="00752DB4">
        <w:t xml:space="preserve"> the highlighted Coachella subsection, </w:t>
      </w:r>
      <w:r w:rsidR="00AC4F70">
        <w:t xml:space="preserve">showing </w:t>
      </w:r>
      <w:r w:rsidR="00752DB4">
        <w:t xml:space="preserve">the discretization of the </w:t>
      </w:r>
      <w:proofErr w:type="spellStart"/>
      <w:r w:rsidR="00752DB4">
        <w:t>uninverted</w:t>
      </w:r>
      <w:proofErr w:type="spellEnd"/>
      <w:r w:rsidR="00752DB4">
        <w:t xml:space="preserve"> set. </w:t>
      </w:r>
      <w:r w:rsidR="00EB347C">
        <w:t>(b)</w:t>
      </w:r>
      <w:r w:rsidR="00752DB4">
        <w:t xml:space="preserve"> </w:t>
      </w:r>
      <w:proofErr w:type="gramStart"/>
      <w:r w:rsidR="00752DB4">
        <w:t>shows</w:t>
      </w:r>
      <w:proofErr w:type="gramEnd"/>
      <w:r w:rsidR="00752DB4">
        <w:t xml:space="preserve"> the rate at which each subsection participates with the highlighted Coachella subsection for the UCERF3 model.</w:t>
      </w:r>
    </w:p>
    <w:p w14:paraId="361CFCCA" w14:textId="77777777" w:rsidR="004F5567" w:rsidRDefault="004F5567"/>
    <w:p w14:paraId="111A9499" w14:textId="77777777" w:rsidR="004F5567" w:rsidRDefault="00752DB4" w:rsidP="000E6CDE">
      <w:pPr>
        <w:pStyle w:val="Heading1"/>
      </w:pPr>
      <w:r>
        <w:t>References</w:t>
      </w:r>
      <w:r w:rsidR="00EC54E8">
        <w:t xml:space="preserve"> Cited</w:t>
      </w:r>
    </w:p>
    <w:p w14:paraId="43C3626F" w14:textId="77777777" w:rsidR="004F5567" w:rsidRDefault="00DC2A1D" w:rsidP="000E6CDE">
      <w:pPr>
        <w:pStyle w:val="Reference"/>
      </w:pPr>
      <w:r>
        <w:t>Parsons, T</w:t>
      </w:r>
      <w:r w:rsidR="004851AB">
        <w:t>.</w:t>
      </w:r>
      <w:r>
        <w:t xml:space="preserve">, </w:t>
      </w:r>
      <w:r w:rsidR="00752DB4">
        <w:t>Field,</w:t>
      </w:r>
      <w:r>
        <w:t xml:space="preserve"> E.H., </w:t>
      </w:r>
      <w:r w:rsidR="00752DB4">
        <w:t>Page,</w:t>
      </w:r>
      <w:r>
        <w:t xml:space="preserve"> M.T., </w:t>
      </w:r>
      <w:r w:rsidR="004851AB">
        <w:t xml:space="preserve">and </w:t>
      </w:r>
      <w:r w:rsidR="00752DB4">
        <w:t>Milner</w:t>
      </w:r>
      <w:r>
        <w:t>, K</w:t>
      </w:r>
      <w:r w:rsidR="00752DB4">
        <w:t>.</w:t>
      </w:r>
      <w:r>
        <w:t>, 2012, Possible earthquake rupture connections on mapped California faults ranked by c</w:t>
      </w:r>
      <w:r w:rsidR="00752DB4">
        <w:t>alcu</w:t>
      </w:r>
      <w:r>
        <w:t>lated coulomb linking stresses:</w:t>
      </w:r>
      <w:r w:rsidR="00752DB4">
        <w:t xml:space="preserve"> </w:t>
      </w:r>
      <w:r w:rsidR="00752DB4" w:rsidRPr="00DC2A1D">
        <w:t>Bulletin of the Seismological Society of America</w:t>
      </w:r>
      <w:r>
        <w:t>, v. 102, chap. 6, p.</w:t>
      </w:r>
      <w:r w:rsidR="00752DB4">
        <w:t xml:space="preserve"> 2667</w:t>
      </w:r>
      <w:r>
        <w:t>–</w:t>
      </w:r>
      <w:r w:rsidR="00EC54E8">
        <w:t>2676,</w:t>
      </w:r>
      <w:r w:rsidR="00752DB4">
        <w:t xml:space="preserve"> doi:10.1785/0120110349.</w:t>
      </w:r>
    </w:p>
    <w:p w14:paraId="39A426A6" w14:textId="77777777" w:rsidR="004F5567" w:rsidRDefault="00752DB4" w:rsidP="000E6CDE">
      <w:pPr>
        <w:pStyle w:val="Reference"/>
      </w:pPr>
      <w:r>
        <w:t>Richards</w:t>
      </w:r>
      <w:r w:rsidR="004678EC">
        <w:t>-</w:t>
      </w:r>
      <w:r w:rsidR="004E3512">
        <w:t xml:space="preserve"> </w:t>
      </w:r>
      <w:r w:rsidR="00DC2A1D">
        <w:t>D</w:t>
      </w:r>
      <w:r w:rsidR="004678EC">
        <w:t xml:space="preserve">inger, </w:t>
      </w:r>
      <w:r w:rsidR="00DC2A1D">
        <w:t>K.,</w:t>
      </w:r>
      <w:r>
        <w:t xml:space="preserve"> </w:t>
      </w:r>
      <w:r w:rsidR="004851AB">
        <w:t xml:space="preserve">and </w:t>
      </w:r>
      <w:proofErr w:type="spellStart"/>
      <w:r>
        <w:t>Dieterich</w:t>
      </w:r>
      <w:proofErr w:type="spellEnd"/>
      <w:r w:rsidR="00DC2A1D">
        <w:t xml:space="preserve">, J.H., 2012, </w:t>
      </w:r>
      <w:proofErr w:type="spellStart"/>
      <w:r w:rsidR="00DC2A1D">
        <w:t>RSQSim</w:t>
      </w:r>
      <w:proofErr w:type="spellEnd"/>
      <w:r w:rsidR="00DC2A1D">
        <w:t xml:space="preserve"> Earthquake Simulator:</w:t>
      </w:r>
      <w:r>
        <w:t xml:space="preserve"> </w:t>
      </w:r>
      <w:r w:rsidRPr="00DC2A1D">
        <w:t>Seismological Research Letters</w:t>
      </w:r>
      <w:r w:rsidR="00DC2A1D">
        <w:t>, v.</w:t>
      </w:r>
      <w:r w:rsidRPr="00DC2A1D">
        <w:t xml:space="preserve"> </w:t>
      </w:r>
      <w:r>
        <w:t>83</w:t>
      </w:r>
      <w:r w:rsidR="00DC2A1D">
        <w:t>, chap. 6, p.</w:t>
      </w:r>
      <w:r>
        <w:t xml:space="preserve"> 983</w:t>
      </w:r>
      <w:r w:rsidR="00DC2A1D">
        <w:t>–</w:t>
      </w:r>
      <w:r>
        <w:t xml:space="preserve">990. </w:t>
      </w:r>
      <w:proofErr w:type="gramStart"/>
      <w:r>
        <w:t>doi:10.1785</w:t>
      </w:r>
      <w:proofErr w:type="gramEnd"/>
      <w:r>
        <w:t>/0220120105.</w:t>
      </w:r>
    </w:p>
    <w:p w14:paraId="696B7E7A" w14:textId="77777777" w:rsidR="004F5567" w:rsidRDefault="00DC2A1D" w:rsidP="000E6CDE">
      <w:pPr>
        <w:pStyle w:val="Reference"/>
      </w:pPr>
      <w:proofErr w:type="spellStart"/>
      <w:r>
        <w:t>Wesnousky</w:t>
      </w:r>
      <w:proofErr w:type="spellEnd"/>
      <w:r>
        <w:t>, S.</w:t>
      </w:r>
      <w:r w:rsidR="00752DB4">
        <w:t>G.</w:t>
      </w:r>
      <w:r>
        <w:t>, 2008, Displacement and geometrical characteristics of e</w:t>
      </w:r>
      <w:r w:rsidR="00752DB4">
        <w:t>arthquak</w:t>
      </w:r>
      <w:r>
        <w:t>e surface ruptures—issues and implications for seismic-hazard analysis and the process of earthquake rupture:</w:t>
      </w:r>
      <w:r w:rsidR="00752DB4">
        <w:t xml:space="preserve"> </w:t>
      </w:r>
      <w:r w:rsidR="00752DB4" w:rsidRPr="00DC2A1D">
        <w:t>Bulletin of the Seismological Society of America</w:t>
      </w:r>
      <w:r>
        <w:t>, v.</w:t>
      </w:r>
      <w:r w:rsidR="00752DB4" w:rsidRPr="00DC2A1D">
        <w:t xml:space="preserve"> </w:t>
      </w:r>
      <w:r w:rsidR="00752DB4">
        <w:t>98</w:t>
      </w:r>
      <w:r>
        <w:t>, chap. 4, p.</w:t>
      </w:r>
      <w:r w:rsidR="00752DB4">
        <w:t xml:space="preserve"> 1609</w:t>
      </w:r>
      <w:r>
        <w:t>–</w:t>
      </w:r>
      <w:r w:rsidR="00752DB4">
        <w:t>1632</w:t>
      </w:r>
      <w:r w:rsidR="00EC54E8">
        <w:t>,</w:t>
      </w:r>
      <w:r w:rsidR="00752DB4">
        <w:t xml:space="preserve"> doi:10.1785/0120070111. </w:t>
      </w:r>
    </w:p>
    <w:p w14:paraId="5BDFF5CB" w14:textId="77777777" w:rsidR="004F5567" w:rsidRDefault="009C4B67" w:rsidP="000E6CDE">
      <w:pPr>
        <w:pStyle w:val="Reference"/>
      </w:pPr>
      <w:proofErr w:type="spellStart"/>
      <w:r>
        <w:rPr>
          <w:color w:val="222222"/>
          <w:highlight w:val="white"/>
        </w:rPr>
        <w:t>Xu</w:t>
      </w:r>
      <w:proofErr w:type="spellEnd"/>
      <w:r>
        <w:rPr>
          <w:color w:val="222222"/>
          <w:highlight w:val="white"/>
        </w:rPr>
        <w:t xml:space="preserve">, </w:t>
      </w:r>
      <w:proofErr w:type="spellStart"/>
      <w:r>
        <w:rPr>
          <w:color w:val="222222"/>
          <w:highlight w:val="white"/>
        </w:rPr>
        <w:t>Shiqing</w:t>
      </w:r>
      <w:proofErr w:type="spellEnd"/>
      <w:r>
        <w:rPr>
          <w:color w:val="222222"/>
          <w:highlight w:val="white"/>
        </w:rPr>
        <w:t xml:space="preserve">, </w:t>
      </w:r>
      <w:r w:rsidR="00EC54E8">
        <w:rPr>
          <w:color w:val="222222"/>
          <w:highlight w:val="white"/>
        </w:rPr>
        <w:t xml:space="preserve">and </w:t>
      </w:r>
      <w:r>
        <w:rPr>
          <w:color w:val="222222"/>
          <w:highlight w:val="white"/>
        </w:rPr>
        <w:t>Ben-Zion,</w:t>
      </w:r>
      <w:r w:rsidR="004678EC" w:rsidRPr="004678EC">
        <w:rPr>
          <w:color w:val="222222"/>
          <w:highlight w:val="white"/>
        </w:rPr>
        <w:t xml:space="preserve"> </w:t>
      </w:r>
      <w:r w:rsidR="004678EC">
        <w:rPr>
          <w:color w:val="222222"/>
          <w:highlight w:val="white"/>
        </w:rPr>
        <w:t>Yehuda,</w:t>
      </w:r>
      <w:r>
        <w:rPr>
          <w:color w:val="222222"/>
          <w:highlight w:val="white"/>
        </w:rPr>
        <w:t xml:space="preserve"> 2013, </w:t>
      </w:r>
      <w:r w:rsidR="00752DB4">
        <w:rPr>
          <w:color w:val="222222"/>
          <w:highlight w:val="white"/>
        </w:rPr>
        <w:t>Numerical an</w:t>
      </w:r>
      <w:r>
        <w:rPr>
          <w:color w:val="222222"/>
          <w:highlight w:val="white"/>
        </w:rPr>
        <w:t>d theoretical analysis of in-plane dynamic rupture on a frictional interface and off-fault yielding patterns at different scales:</w:t>
      </w:r>
      <w:r w:rsidR="00752DB4" w:rsidRPr="009C4B67">
        <w:rPr>
          <w:color w:val="222222"/>
          <w:highlight w:val="white"/>
        </w:rPr>
        <w:t xml:space="preserve"> Geophysical Journal International</w:t>
      </w:r>
      <w:r>
        <w:rPr>
          <w:color w:val="222222"/>
          <w:highlight w:val="white"/>
        </w:rPr>
        <w:t>, v.</w:t>
      </w:r>
      <w:r w:rsidR="00752DB4" w:rsidRPr="009C4B67">
        <w:rPr>
          <w:color w:val="222222"/>
          <w:highlight w:val="white"/>
        </w:rPr>
        <w:t xml:space="preserve"> </w:t>
      </w:r>
      <w:r>
        <w:rPr>
          <w:color w:val="222222"/>
          <w:highlight w:val="white"/>
        </w:rPr>
        <w:t>193, chap. 1, p.</w:t>
      </w:r>
      <w:r w:rsidR="00752DB4">
        <w:rPr>
          <w:color w:val="222222"/>
          <w:highlight w:val="white"/>
        </w:rPr>
        <w:t xml:space="preserve"> 304</w:t>
      </w:r>
      <w:r>
        <w:rPr>
          <w:color w:val="222222"/>
          <w:highlight w:val="white"/>
        </w:rPr>
        <w:t>–</w:t>
      </w:r>
      <w:r w:rsidR="00752DB4">
        <w:rPr>
          <w:color w:val="222222"/>
          <w:highlight w:val="white"/>
        </w:rPr>
        <w:t>320.</w:t>
      </w:r>
    </w:p>
    <w:sectPr w:rsidR="004F5567" w:rsidSect="00EB347C">
      <w:headerReference w:type="default" r:id="rId20"/>
      <w:headerReference w:type="first" r:id="rId21"/>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99740" w14:textId="77777777" w:rsidR="00D52A54" w:rsidRDefault="00D52A54" w:rsidP="00173621">
      <w:r>
        <w:separator/>
      </w:r>
    </w:p>
  </w:endnote>
  <w:endnote w:type="continuationSeparator" w:id="0">
    <w:p w14:paraId="4710731C" w14:textId="77777777" w:rsidR="00D52A54" w:rsidRDefault="00D52A54" w:rsidP="00173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Univers 57 Condensed">
    <w:panose1 w:val="00000000000000000000"/>
    <w:charset w:val="00"/>
    <w:family w:val="auto"/>
    <w:pitch w:val="variable"/>
    <w:sig w:usb0="8000002F" w:usb1="4000004A" w:usb2="00000000" w:usb3="00000000" w:csb0="0000011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423B0" w14:textId="77777777" w:rsidR="00D52A54" w:rsidRDefault="00D52A54" w:rsidP="00173621">
      <w:r>
        <w:separator/>
      </w:r>
    </w:p>
  </w:footnote>
  <w:footnote w:type="continuationSeparator" w:id="0">
    <w:p w14:paraId="508DC887" w14:textId="77777777" w:rsidR="00D52A54" w:rsidRDefault="00D52A54" w:rsidP="00173621">
      <w:r>
        <w:continuationSeparator/>
      </w:r>
    </w:p>
  </w:footnote>
  <w:footnote w:id="1">
    <w:p w14:paraId="549F5FB9" w14:textId="77777777" w:rsidR="00D52A54" w:rsidRDefault="00D52A54">
      <w:pPr>
        <w:pStyle w:val="FootnoteText"/>
      </w:pPr>
      <w:r>
        <w:rPr>
          <w:rStyle w:val="FootnoteReference"/>
        </w:rPr>
        <w:footnoteRef/>
      </w:r>
      <w:r>
        <w:t xml:space="preserve"> University of Southern California</w:t>
      </w:r>
    </w:p>
  </w:footnote>
  <w:footnote w:id="2">
    <w:p w14:paraId="01280E42" w14:textId="77777777" w:rsidR="00D52A54" w:rsidRDefault="00D52A54">
      <w:pPr>
        <w:pStyle w:val="FootnoteText"/>
      </w:pPr>
      <w:r>
        <w:rPr>
          <w:rStyle w:val="FootnoteReference"/>
        </w:rPr>
        <w:footnoteRef/>
      </w:r>
      <w:r>
        <w:t xml:space="preserve"> U.S. Geological Survey</w:t>
      </w:r>
    </w:p>
  </w:footnote>
  <w:footnote w:id="3">
    <w:p w14:paraId="78B7A97A" w14:textId="77777777" w:rsidR="00D52A54" w:rsidRDefault="00D52A54">
      <w:pPr>
        <w:pStyle w:val="FootnoteText"/>
      </w:pPr>
      <w:r>
        <w:rPr>
          <w:rStyle w:val="FootnoteReference"/>
        </w:rPr>
        <w:footnoteRef/>
      </w:r>
      <w:r>
        <w:t xml:space="preserve"> University of Nevada, Reno</w:t>
      </w:r>
    </w:p>
  </w:footnote>
  <w:footnote w:id="4">
    <w:p w14:paraId="38EDB3AB" w14:textId="77777777" w:rsidR="00D52A54" w:rsidRDefault="00D52A54">
      <w:pPr>
        <w:pStyle w:val="FootnoteText"/>
      </w:pPr>
      <w:r>
        <w:rPr>
          <w:rStyle w:val="FootnoteReference"/>
        </w:rPr>
        <w:footnoteRef/>
      </w:r>
      <w:r>
        <w:t xml:space="preserve"> Columbia University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C56A8" w14:textId="77777777" w:rsidR="00DB128D" w:rsidRPr="00DB128D" w:rsidRDefault="00DB128D" w:rsidP="00DB128D">
    <w:pPr>
      <w:pStyle w:val="Header"/>
      <w:rPr>
        <w:b/>
      </w:rPr>
    </w:pPr>
    <w:r w:rsidRPr="00DB11D1">
      <w:rPr>
        <w:b/>
      </w:rPr>
      <w:t>PRELIMINARY DRAFT—DO NOT DISTRIBUTE</w:t>
    </w:r>
  </w:p>
  <w:p w14:paraId="7F618F88" w14:textId="77777777" w:rsidR="00DB128D" w:rsidRPr="00DB128D" w:rsidRDefault="00DB128D" w:rsidP="00DB128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E0F4" w14:textId="00728AD4" w:rsidR="00DB128D" w:rsidRPr="00DB128D" w:rsidRDefault="00DB128D">
    <w:pPr>
      <w:pStyle w:val="Header"/>
      <w:rPr>
        <w:b/>
      </w:rPr>
    </w:pPr>
    <w:r w:rsidRPr="00DB11D1">
      <w:rPr>
        <w:b/>
      </w:rPr>
      <w:t>PRELIMINARY DRAFT—DO NOT DISTRIBUTE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42C6D1C"/>
    <w:lvl w:ilvl="0">
      <w:start w:val="1"/>
      <w:numFmt w:val="decimal"/>
      <w:lvlText w:val="%1."/>
      <w:lvlJc w:val="left"/>
      <w:pPr>
        <w:tabs>
          <w:tab w:val="num" w:pos="1080"/>
        </w:tabs>
        <w:ind w:left="1080" w:hanging="360"/>
      </w:pPr>
    </w:lvl>
  </w:abstractNum>
  <w:abstractNum w:abstractNumId="1">
    <w:nsid w:val="FFFFFF7F"/>
    <w:multiLevelType w:val="singleLevel"/>
    <w:tmpl w:val="12A83EFA"/>
    <w:lvl w:ilvl="0">
      <w:start w:val="1"/>
      <w:numFmt w:val="decimal"/>
      <w:lvlText w:val="%1."/>
      <w:lvlJc w:val="left"/>
      <w:pPr>
        <w:tabs>
          <w:tab w:val="num" w:pos="720"/>
        </w:tabs>
        <w:ind w:left="720" w:hanging="360"/>
      </w:pPr>
    </w:lvl>
  </w:abstractNum>
  <w:abstractNum w:abstractNumId="2">
    <w:nsid w:val="FFFFFF82"/>
    <w:multiLevelType w:val="singleLevel"/>
    <w:tmpl w:val="50BCBF24"/>
    <w:lvl w:ilvl="0">
      <w:start w:val="1"/>
      <w:numFmt w:val="bullet"/>
      <w:pStyle w:val="ListBullet3"/>
      <w:lvlText w:val=""/>
      <w:lvlJc w:val="left"/>
      <w:pPr>
        <w:ind w:left="1080" w:hanging="360"/>
      </w:pPr>
      <w:rPr>
        <w:rFonts w:ascii="Symbol" w:hAnsi="Symbol" w:hint="default"/>
      </w:rPr>
    </w:lvl>
  </w:abstractNum>
  <w:abstractNum w:abstractNumId="3">
    <w:nsid w:val="FFFFFF83"/>
    <w:multiLevelType w:val="singleLevel"/>
    <w:tmpl w:val="3BD27642"/>
    <w:lvl w:ilvl="0">
      <w:start w:val="1"/>
      <w:numFmt w:val="bullet"/>
      <w:pStyle w:val="ListBullet2"/>
      <w:lvlText w:val=""/>
      <w:lvlJc w:val="left"/>
      <w:pPr>
        <w:ind w:left="720" w:hanging="360"/>
      </w:pPr>
      <w:rPr>
        <w:rFonts w:ascii="Symbol" w:hAnsi="Symbol" w:hint="default"/>
      </w:rPr>
    </w:lvl>
  </w:abstractNum>
  <w:abstractNum w:abstractNumId="4">
    <w:nsid w:val="FFFFFF88"/>
    <w:multiLevelType w:val="singleLevel"/>
    <w:tmpl w:val="48F69290"/>
    <w:lvl w:ilvl="0">
      <w:start w:val="1"/>
      <w:numFmt w:val="decimal"/>
      <w:lvlText w:val="%1."/>
      <w:lvlJc w:val="left"/>
      <w:pPr>
        <w:tabs>
          <w:tab w:val="num" w:pos="360"/>
        </w:tabs>
        <w:ind w:left="360" w:hanging="360"/>
      </w:pPr>
    </w:lvl>
  </w:abstractNum>
  <w:abstractNum w:abstractNumId="5">
    <w:nsid w:val="FFFFFF89"/>
    <w:multiLevelType w:val="singleLevel"/>
    <w:tmpl w:val="FCC00386"/>
    <w:lvl w:ilvl="0">
      <w:start w:val="1"/>
      <w:numFmt w:val="bullet"/>
      <w:pStyle w:val="ListBullet"/>
      <w:lvlText w:val=""/>
      <w:lvlJc w:val="left"/>
      <w:pPr>
        <w:ind w:left="360" w:hanging="360"/>
      </w:pPr>
      <w:rPr>
        <w:rFonts w:ascii="Symbol" w:hAnsi="Symbol" w:hint="default"/>
      </w:rPr>
    </w:lvl>
  </w:abstractNum>
  <w:abstractNum w:abstractNumId="6">
    <w:nsid w:val="024C4A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A382F6E"/>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BD93D4C"/>
    <w:multiLevelType w:val="hybridMultilevel"/>
    <w:tmpl w:val="C00E5A28"/>
    <w:lvl w:ilvl="0" w:tplc="6190565C">
      <w:start w:val="1"/>
      <w:numFmt w:val="decimal"/>
      <w:lvlText w:val="Table T%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9170B9"/>
    <w:multiLevelType w:val="hybridMultilevel"/>
    <w:tmpl w:val="522015DE"/>
    <w:lvl w:ilvl="0" w:tplc="511E6844">
      <w:start w:val="1"/>
      <w:numFmt w:val="decimal"/>
      <w:lvlText w:val="Table %1."/>
      <w:lvlJc w:val="left"/>
      <w:pPr>
        <w:tabs>
          <w:tab w:val="num" w:pos="144"/>
        </w:tabs>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431EF4"/>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19078B7"/>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7B94B7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11B44BF"/>
    <w:multiLevelType w:val="hybridMultilevel"/>
    <w:tmpl w:val="1E4C9B72"/>
    <w:lvl w:ilvl="0" w:tplc="0226CF88">
      <w:start w:val="1"/>
      <w:numFmt w:val="decimal"/>
      <w:pStyle w:val="ListNumber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49C2F2F"/>
    <w:multiLevelType w:val="hybridMultilevel"/>
    <w:tmpl w:val="D78815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0346F09"/>
    <w:multiLevelType w:val="multilevel"/>
    <w:tmpl w:val="522015DE"/>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1F65BED"/>
    <w:multiLevelType w:val="multilevel"/>
    <w:tmpl w:val="909AFC9A"/>
    <w:lvl w:ilvl="0">
      <w:start w:val="1"/>
      <w:numFmt w:val="decimal"/>
      <w:lvlText w:val="Table %1. "/>
      <w:lvlJc w:val="center"/>
      <w:pPr>
        <w:tabs>
          <w:tab w:val="num" w:pos="864"/>
        </w:tabs>
        <w:ind w:left="360" w:hanging="72"/>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6726038"/>
    <w:multiLevelType w:val="multilevel"/>
    <w:tmpl w:val="3FE6D8B0"/>
    <w:lvl w:ilvl="0">
      <w:start w:val="1"/>
      <w:numFmt w:val="decimal"/>
      <w:lvlText w:val="Table %1. "/>
      <w:lvlJc w:val="center"/>
      <w:pPr>
        <w:tabs>
          <w:tab w:val="num" w:pos="864"/>
        </w:tabs>
        <w:ind w:left="360" w:hanging="72"/>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6A4743D"/>
    <w:multiLevelType w:val="multilevel"/>
    <w:tmpl w:val="44029250"/>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83C05D7"/>
    <w:multiLevelType w:val="multilevel"/>
    <w:tmpl w:val="7C1E327A"/>
    <w:lvl w:ilvl="0">
      <w:start w:val="1"/>
      <w:numFmt w:val="decimal"/>
      <w:lvlText w:val="Table %1. "/>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8FA0009"/>
    <w:multiLevelType w:val="multilevel"/>
    <w:tmpl w:val="30D01D10"/>
    <w:lvl w:ilvl="0">
      <w:start w:val="1"/>
      <w:numFmt w:val="upperRoman"/>
      <w:lvlText w:val="Article %1."/>
      <w:lvlJc w:val="left"/>
      <w:pPr>
        <w:tabs>
          <w:tab w:val="num" w:pos="2808"/>
        </w:tabs>
        <w:ind w:left="288" w:firstLine="0"/>
      </w:pPr>
    </w:lvl>
    <w:lvl w:ilvl="1">
      <w:start w:val="1"/>
      <w:numFmt w:val="decimalZero"/>
      <w:isLgl/>
      <w:lvlText w:val="Section %1.%2"/>
      <w:lvlJc w:val="left"/>
      <w:pPr>
        <w:tabs>
          <w:tab w:val="num" w:pos="2808"/>
        </w:tabs>
        <w:ind w:left="288" w:firstLine="0"/>
      </w:pPr>
    </w:lvl>
    <w:lvl w:ilvl="2">
      <w:start w:val="1"/>
      <w:numFmt w:val="lowerLetter"/>
      <w:lvlText w:val="(%3)"/>
      <w:lvlJc w:val="left"/>
      <w:pPr>
        <w:tabs>
          <w:tab w:val="num" w:pos="1296"/>
        </w:tabs>
        <w:ind w:left="1008" w:hanging="432"/>
      </w:pPr>
    </w:lvl>
    <w:lvl w:ilvl="3">
      <w:start w:val="1"/>
      <w:numFmt w:val="lowerRoman"/>
      <w:lvlText w:val="(%4)"/>
      <w:lvlJc w:val="right"/>
      <w:pPr>
        <w:tabs>
          <w:tab w:val="num" w:pos="1152"/>
        </w:tabs>
        <w:ind w:left="1152" w:hanging="144"/>
      </w:pPr>
    </w:lvl>
    <w:lvl w:ilvl="4">
      <w:start w:val="1"/>
      <w:numFmt w:val="decimal"/>
      <w:lvlText w:val="%5)"/>
      <w:lvlJc w:val="left"/>
      <w:pPr>
        <w:tabs>
          <w:tab w:val="num" w:pos="1296"/>
        </w:tabs>
        <w:ind w:left="1296" w:hanging="432"/>
      </w:pPr>
    </w:lvl>
    <w:lvl w:ilvl="5">
      <w:start w:val="1"/>
      <w:numFmt w:val="lowerLetter"/>
      <w:pStyle w:val="Heading6"/>
      <w:lvlText w:val="%6)"/>
      <w:lvlJc w:val="left"/>
      <w:pPr>
        <w:tabs>
          <w:tab w:val="num" w:pos="1440"/>
        </w:tabs>
        <w:ind w:left="1440" w:hanging="432"/>
      </w:pPr>
    </w:lvl>
    <w:lvl w:ilvl="6">
      <w:start w:val="1"/>
      <w:numFmt w:val="lowerRoman"/>
      <w:pStyle w:val="Heading7"/>
      <w:lvlText w:val="%7)"/>
      <w:lvlJc w:val="right"/>
      <w:pPr>
        <w:tabs>
          <w:tab w:val="num" w:pos="1584"/>
        </w:tabs>
        <w:ind w:left="1584" w:hanging="288"/>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right"/>
      <w:pPr>
        <w:tabs>
          <w:tab w:val="num" w:pos="1872"/>
        </w:tabs>
        <w:ind w:left="1872" w:hanging="144"/>
      </w:pPr>
    </w:lvl>
  </w:abstractNum>
  <w:abstractNum w:abstractNumId="21">
    <w:nsid w:val="3AC60A28"/>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C4698F"/>
    <w:multiLevelType w:val="multilevel"/>
    <w:tmpl w:val="3EFA7FF4"/>
    <w:lvl w:ilvl="0">
      <w:start w:val="1"/>
      <w:numFmt w:val="decimal"/>
      <w:lvlText w:val="Table %1."/>
      <w:lvlJc w:val="left"/>
      <w:pPr>
        <w:tabs>
          <w:tab w:val="num" w:pos="216"/>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035640C"/>
    <w:multiLevelType w:val="multilevel"/>
    <w:tmpl w:val="9634DA66"/>
    <w:lvl w:ilvl="0">
      <w:start w:val="1"/>
      <w:numFmt w:val="decimal"/>
      <w:lvlText w:val="Table %1."/>
      <w:lvlJc w:val="left"/>
      <w:pPr>
        <w:tabs>
          <w:tab w:val="num" w:pos="1152"/>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0A6645B"/>
    <w:multiLevelType w:val="hybridMultilevel"/>
    <w:tmpl w:val="FE081B6A"/>
    <w:lvl w:ilvl="0" w:tplc="27FAE5B6">
      <w:start w:val="1"/>
      <w:numFmt w:val="decimal"/>
      <w:pStyle w:val="FigureCaption"/>
      <w:lvlText w:val="Figure %1."/>
      <w:lvlJc w:val="center"/>
      <w:pPr>
        <w:tabs>
          <w:tab w:val="num" w:pos="1008"/>
        </w:tabs>
        <w:ind w:left="360" w:hanging="72"/>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B935C9"/>
    <w:multiLevelType w:val="multilevel"/>
    <w:tmpl w:val="3FE6D8B0"/>
    <w:lvl w:ilvl="0">
      <w:start w:val="1"/>
      <w:numFmt w:val="decimal"/>
      <w:lvlText w:val="Table %1. "/>
      <w:lvlJc w:val="center"/>
      <w:pPr>
        <w:tabs>
          <w:tab w:val="num" w:pos="864"/>
        </w:tabs>
        <w:ind w:left="360" w:hanging="72"/>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8DB2F55"/>
    <w:multiLevelType w:val="hybridMultilevel"/>
    <w:tmpl w:val="39AAC194"/>
    <w:lvl w:ilvl="0" w:tplc="FEF0C644">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435FD6"/>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A5F61D4"/>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C0C1B06"/>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D027BE1"/>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F1D5BB0"/>
    <w:multiLevelType w:val="multilevel"/>
    <w:tmpl w:val="5F849F5A"/>
    <w:lvl w:ilvl="0">
      <w:start w:val="1"/>
      <w:numFmt w:val="decimal"/>
      <w:lvlText w:val="Table %1. "/>
      <w:lvlJc w:val="left"/>
      <w:pPr>
        <w:tabs>
          <w:tab w:val="num" w:pos="864"/>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714D5D"/>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4877B9F"/>
    <w:multiLevelType w:val="multilevel"/>
    <w:tmpl w:val="3FE6D8B0"/>
    <w:lvl w:ilvl="0">
      <w:start w:val="1"/>
      <w:numFmt w:val="decimal"/>
      <w:lvlText w:val="Table %1. "/>
      <w:lvlJc w:val="center"/>
      <w:pPr>
        <w:tabs>
          <w:tab w:val="num" w:pos="864"/>
        </w:tabs>
        <w:ind w:left="360" w:hanging="72"/>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FB6D6F"/>
    <w:multiLevelType w:val="multilevel"/>
    <w:tmpl w:val="FFC281C0"/>
    <w:lvl w:ilvl="0">
      <w:start w:val="1"/>
      <w:numFmt w:val="decimal"/>
      <w:lvlText w:val="Figure %1."/>
      <w:lvlJc w:val="center"/>
      <w:pPr>
        <w:tabs>
          <w:tab w:val="num" w:pos="144"/>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61363C1"/>
    <w:multiLevelType w:val="multilevel"/>
    <w:tmpl w:val="B790C560"/>
    <w:lvl w:ilvl="0">
      <w:start w:val="1"/>
      <w:numFmt w:val="decimal"/>
      <w:lvlText w:val="Table %1."/>
      <w:lvlJc w:val="left"/>
      <w:pPr>
        <w:tabs>
          <w:tab w:val="num" w:pos="1080"/>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92536D1"/>
    <w:multiLevelType w:val="hybridMultilevel"/>
    <w:tmpl w:val="595224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592F22FC"/>
    <w:multiLevelType w:val="hybridMultilevel"/>
    <w:tmpl w:val="9FF613CC"/>
    <w:lvl w:ilvl="0" w:tplc="7CAA012E">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BFC22B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5E4120E0"/>
    <w:multiLevelType w:val="hybridMultilevel"/>
    <w:tmpl w:val="BA98D54A"/>
    <w:lvl w:ilvl="0" w:tplc="2146D74A">
      <w:start w:val="1"/>
      <w:numFmt w:val="decimal"/>
      <w:lvlText w:val="Figure T%1."/>
      <w:lvlJc w:val="center"/>
      <w:pPr>
        <w:tabs>
          <w:tab w:val="num" w:pos="1008"/>
        </w:tabs>
        <w:ind w:left="360" w:hanging="72"/>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0C0BA8"/>
    <w:multiLevelType w:val="multilevel"/>
    <w:tmpl w:val="D2F6B4BA"/>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2146214"/>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5F06F2D"/>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5F708BE"/>
    <w:multiLevelType w:val="hybridMultilevel"/>
    <w:tmpl w:val="5178ED5C"/>
    <w:lvl w:ilvl="0" w:tplc="9394391C">
      <w:start w:val="1"/>
      <w:numFmt w:val="decimal"/>
      <w:pStyle w:val="TableTitleT"/>
      <w:lvlText w:val="Table T%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8026C2C"/>
    <w:multiLevelType w:val="hybridMultilevel"/>
    <w:tmpl w:val="6A4C82E0"/>
    <w:lvl w:ilvl="0" w:tplc="7EA6328A">
      <w:start w:val="1"/>
      <w:numFmt w:val="decimal"/>
      <w:lvlText w:val="Table T%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2AF77EC"/>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794424B"/>
    <w:multiLevelType w:val="multilevel"/>
    <w:tmpl w:val="2A6245A6"/>
    <w:lvl w:ilvl="0">
      <w:start w:val="1"/>
      <w:numFmt w:val="decimal"/>
      <w:lvlText w:val="Table %1. "/>
      <w:lvlJc w:val="center"/>
      <w:pPr>
        <w:tabs>
          <w:tab w:val="num" w:pos="864"/>
        </w:tabs>
        <w:ind w:left="360" w:hanging="72"/>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E600CD2"/>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1"/>
  </w:num>
  <w:num w:numId="6">
    <w:abstractNumId w:val="0"/>
  </w:num>
  <w:num w:numId="7">
    <w:abstractNumId w:val="20"/>
  </w:num>
  <w:num w:numId="8">
    <w:abstractNumId w:val="24"/>
  </w:num>
  <w:num w:numId="9">
    <w:abstractNumId w:val="9"/>
  </w:num>
  <w:num w:numId="10">
    <w:abstractNumId w:val="40"/>
  </w:num>
  <w:num w:numId="11">
    <w:abstractNumId w:val="30"/>
  </w:num>
  <w:num w:numId="12">
    <w:abstractNumId w:val="10"/>
  </w:num>
  <w:num w:numId="13">
    <w:abstractNumId w:val="22"/>
  </w:num>
  <w:num w:numId="14">
    <w:abstractNumId w:val="19"/>
  </w:num>
  <w:num w:numId="15">
    <w:abstractNumId w:val="15"/>
  </w:num>
  <w:num w:numId="16">
    <w:abstractNumId w:val="43"/>
  </w:num>
  <w:num w:numId="17">
    <w:abstractNumId w:val="18"/>
  </w:num>
  <w:num w:numId="18">
    <w:abstractNumId w:val="35"/>
  </w:num>
  <w:num w:numId="19">
    <w:abstractNumId w:val="23"/>
  </w:num>
  <w:num w:numId="20">
    <w:abstractNumId w:val="12"/>
  </w:num>
  <w:num w:numId="21">
    <w:abstractNumId w:val="38"/>
  </w:num>
  <w:num w:numId="22">
    <w:abstractNumId w:val="6"/>
  </w:num>
  <w:num w:numId="23">
    <w:abstractNumId w:val="31"/>
  </w:num>
  <w:num w:numId="24">
    <w:abstractNumId w:val="29"/>
  </w:num>
  <w:num w:numId="25">
    <w:abstractNumId w:val="34"/>
  </w:num>
  <w:num w:numId="26">
    <w:abstractNumId w:val="36"/>
  </w:num>
  <w:num w:numId="27">
    <w:abstractNumId w:val="14"/>
  </w:num>
  <w:num w:numId="28">
    <w:abstractNumId w:val="26"/>
  </w:num>
  <w:num w:numId="29">
    <w:abstractNumId w:val="37"/>
  </w:num>
  <w:num w:numId="30">
    <w:abstractNumId w:val="13"/>
  </w:num>
  <w:num w:numId="31">
    <w:abstractNumId w:val="16"/>
  </w:num>
  <w:num w:numId="32">
    <w:abstractNumId w:val="44"/>
  </w:num>
  <w:num w:numId="33">
    <w:abstractNumId w:val="11"/>
  </w:num>
  <w:num w:numId="34">
    <w:abstractNumId w:val="39"/>
  </w:num>
  <w:num w:numId="35">
    <w:abstractNumId w:val="28"/>
  </w:num>
  <w:num w:numId="36">
    <w:abstractNumId w:val="32"/>
  </w:num>
  <w:num w:numId="37">
    <w:abstractNumId w:val="45"/>
  </w:num>
  <w:num w:numId="38">
    <w:abstractNumId w:val="42"/>
  </w:num>
  <w:num w:numId="39">
    <w:abstractNumId w:val="7"/>
  </w:num>
  <w:num w:numId="40">
    <w:abstractNumId w:val="27"/>
  </w:num>
  <w:num w:numId="41">
    <w:abstractNumId w:val="41"/>
  </w:num>
  <w:num w:numId="42">
    <w:abstractNumId w:val="21"/>
  </w:num>
  <w:num w:numId="43">
    <w:abstractNumId w:val="25"/>
  </w:num>
  <w:num w:numId="44">
    <w:abstractNumId w:val="8"/>
  </w:num>
  <w:num w:numId="45">
    <w:abstractNumId w:val="33"/>
  </w:num>
  <w:num w:numId="46">
    <w:abstractNumId w:val="47"/>
  </w:num>
  <w:num w:numId="47">
    <w:abstractNumId w:val="17"/>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567"/>
    <w:rsid w:val="00032F21"/>
    <w:rsid w:val="000530D4"/>
    <w:rsid w:val="00067EA0"/>
    <w:rsid w:val="00086A25"/>
    <w:rsid w:val="000E024E"/>
    <w:rsid w:val="000E6CDE"/>
    <w:rsid w:val="00105FA0"/>
    <w:rsid w:val="001627DD"/>
    <w:rsid w:val="00167305"/>
    <w:rsid w:val="00173621"/>
    <w:rsid w:val="001955D3"/>
    <w:rsid w:val="0019759E"/>
    <w:rsid w:val="001D4B53"/>
    <w:rsid w:val="0028257C"/>
    <w:rsid w:val="002857B7"/>
    <w:rsid w:val="002B5868"/>
    <w:rsid w:val="00310729"/>
    <w:rsid w:val="0032145A"/>
    <w:rsid w:val="00335843"/>
    <w:rsid w:val="00365A8E"/>
    <w:rsid w:val="003762A3"/>
    <w:rsid w:val="003F0F70"/>
    <w:rsid w:val="0044773E"/>
    <w:rsid w:val="0046242D"/>
    <w:rsid w:val="004678EC"/>
    <w:rsid w:val="00470E3C"/>
    <w:rsid w:val="004851AB"/>
    <w:rsid w:val="00494820"/>
    <w:rsid w:val="004A3640"/>
    <w:rsid w:val="004B6AB8"/>
    <w:rsid w:val="004E2DD5"/>
    <w:rsid w:val="004E3512"/>
    <w:rsid w:val="004F2B5E"/>
    <w:rsid w:val="004F5567"/>
    <w:rsid w:val="005061BD"/>
    <w:rsid w:val="00596004"/>
    <w:rsid w:val="005D7490"/>
    <w:rsid w:val="005E16CC"/>
    <w:rsid w:val="00646F28"/>
    <w:rsid w:val="00675989"/>
    <w:rsid w:val="00675CA6"/>
    <w:rsid w:val="006F5507"/>
    <w:rsid w:val="00720E9C"/>
    <w:rsid w:val="007262A1"/>
    <w:rsid w:val="00752DB4"/>
    <w:rsid w:val="00760C46"/>
    <w:rsid w:val="00766365"/>
    <w:rsid w:val="00773458"/>
    <w:rsid w:val="00784ECA"/>
    <w:rsid w:val="00786D78"/>
    <w:rsid w:val="007A18ED"/>
    <w:rsid w:val="007B310F"/>
    <w:rsid w:val="007E6D83"/>
    <w:rsid w:val="007F2AB2"/>
    <w:rsid w:val="00831B28"/>
    <w:rsid w:val="0088025B"/>
    <w:rsid w:val="008A0B04"/>
    <w:rsid w:val="008B6116"/>
    <w:rsid w:val="008C1A30"/>
    <w:rsid w:val="008F57A3"/>
    <w:rsid w:val="00960786"/>
    <w:rsid w:val="00970299"/>
    <w:rsid w:val="00993148"/>
    <w:rsid w:val="009A7410"/>
    <w:rsid w:val="009C4B67"/>
    <w:rsid w:val="009E6760"/>
    <w:rsid w:val="00A12EEB"/>
    <w:rsid w:val="00A37D38"/>
    <w:rsid w:val="00A556AA"/>
    <w:rsid w:val="00A61283"/>
    <w:rsid w:val="00A8480E"/>
    <w:rsid w:val="00AA2F4A"/>
    <w:rsid w:val="00AC4F70"/>
    <w:rsid w:val="00AD1FEB"/>
    <w:rsid w:val="00B0435B"/>
    <w:rsid w:val="00B521F9"/>
    <w:rsid w:val="00B555D4"/>
    <w:rsid w:val="00B8229A"/>
    <w:rsid w:val="00BF4E00"/>
    <w:rsid w:val="00C24E61"/>
    <w:rsid w:val="00C32AB8"/>
    <w:rsid w:val="00C67BB4"/>
    <w:rsid w:val="00CE10BD"/>
    <w:rsid w:val="00CE4FFC"/>
    <w:rsid w:val="00D01D58"/>
    <w:rsid w:val="00D13399"/>
    <w:rsid w:val="00D23755"/>
    <w:rsid w:val="00D25D00"/>
    <w:rsid w:val="00D52A54"/>
    <w:rsid w:val="00D60E8D"/>
    <w:rsid w:val="00DB128D"/>
    <w:rsid w:val="00DB35F2"/>
    <w:rsid w:val="00DC2A1D"/>
    <w:rsid w:val="00DF5EC9"/>
    <w:rsid w:val="00E26007"/>
    <w:rsid w:val="00E72EC0"/>
    <w:rsid w:val="00E77F5C"/>
    <w:rsid w:val="00E81E3C"/>
    <w:rsid w:val="00E904C4"/>
    <w:rsid w:val="00EB347C"/>
    <w:rsid w:val="00EC54E8"/>
    <w:rsid w:val="00EC7449"/>
    <w:rsid w:val="00ED25D0"/>
    <w:rsid w:val="00F43003"/>
    <w:rsid w:val="00F7168E"/>
    <w:rsid w:val="00F73B07"/>
    <w:rsid w:val="00FC0ABB"/>
    <w:rsid w:val="00FC4CD5"/>
    <w:rsid w:val="00FE4035"/>
    <w:rsid w:val="00FF65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E81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6" w:uiPriority="39"/>
    <w:lsdException w:name="toc 7" w:uiPriority="39"/>
    <w:lsdException w:name="toc 8" w:uiPriority="39"/>
    <w:lsdException w:name="toc 9" w:uiPriority="39"/>
    <w:lsdException w:name="Normal Indent" w:uiPriority="99"/>
    <w:lsdException w:name="footnote text" w:uiPriority="99"/>
    <w:lsdException w:name="header" w:uiPriority="99"/>
    <w:lsdException w:name="index heading" w:uiPriority="99"/>
    <w:lsdException w:name="caption" w:uiPriority="35"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uiPriority="99"/>
    <w:lsdException w:name="List Bullet 5" w:uiPriority="99"/>
    <w:lsdException w:name="List Number 2" w:qFormat="1"/>
    <w:lsdException w:name="List Number 3" w:qFormat="1"/>
    <w:lsdException w:name="List Number 4" w:uiPriority="99"/>
    <w:lsdException w:name="List Number 5" w:uiPriority="99"/>
    <w:lsdException w:name="Title" w:semiHidden="0" w:unhideWhenUsed="0" w:qFormat="1"/>
    <w:lsdException w:name="Closing"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11"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qFormat="1"/>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1BD"/>
    <w:pPr>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
    <w:link w:val="Heading1Char"/>
    <w:qFormat/>
    <w:rsid w:val="005061BD"/>
    <w:pPr>
      <w:keepNext/>
      <w:spacing w:before="240" w:line="480" w:lineRule="auto"/>
      <w:outlineLvl w:val="0"/>
    </w:pPr>
    <w:rPr>
      <w:rFonts w:ascii="Arial Narrow" w:hAnsi="Arial Narrow" w:cs="Arial"/>
      <w:b/>
      <w:bCs/>
      <w:kern w:val="32"/>
      <w:sz w:val="32"/>
      <w:szCs w:val="32"/>
    </w:rPr>
  </w:style>
  <w:style w:type="paragraph" w:styleId="Heading2">
    <w:name w:val="heading 2"/>
    <w:basedOn w:val="Normal"/>
    <w:next w:val="BodyText"/>
    <w:autoRedefine/>
    <w:qFormat/>
    <w:rsid w:val="005061BD"/>
    <w:pPr>
      <w:keepNext/>
      <w:spacing w:before="240" w:line="480" w:lineRule="auto"/>
      <w:outlineLvl w:val="1"/>
    </w:pPr>
    <w:rPr>
      <w:rFonts w:ascii="Arial Narrow" w:hAnsi="Arial Narrow" w:cs="Arial"/>
      <w:b/>
      <w:bCs/>
      <w:iCs/>
      <w:sz w:val="26"/>
      <w:szCs w:val="26"/>
    </w:rPr>
  </w:style>
  <w:style w:type="paragraph" w:styleId="Heading3">
    <w:name w:val="heading 3"/>
    <w:basedOn w:val="Normal"/>
    <w:next w:val="BodyText"/>
    <w:qFormat/>
    <w:rsid w:val="005061BD"/>
    <w:pPr>
      <w:keepNext/>
      <w:spacing w:before="240" w:line="480" w:lineRule="auto"/>
      <w:outlineLvl w:val="2"/>
    </w:pPr>
    <w:rPr>
      <w:rFonts w:ascii="Arial Narrow" w:hAnsi="Arial Narrow" w:cs="Arial"/>
      <w:bCs/>
      <w:sz w:val="26"/>
      <w:szCs w:val="26"/>
    </w:rPr>
  </w:style>
  <w:style w:type="paragraph" w:styleId="Heading4">
    <w:name w:val="heading 4"/>
    <w:basedOn w:val="Normal"/>
    <w:next w:val="BodyText"/>
    <w:qFormat/>
    <w:rsid w:val="005061BD"/>
    <w:pPr>
      <w:keepNext/>
      <w:spacing w:before="240" w:line="480" w:lineRule="auto"/>
      <w:outlineLvl w:val="3"/>
    </w:pPr>
    <w:rPr>
      <w:rFonts w:ascii="Arial Narrow" w:hAnsi="Arial Narrow"/>
      <w:bCs/>
      <w:sz w:val="22"/>
      <w:szCs w:val="22"/>
    </w:rPr>
  </w:style>
  <w:style w:type="paragraph" w:styleId="Heading5">
    <w:name w:val="heading 5"/>
    <w:basedOn w:val="Normal"/>
    <w:next w:val="BodyText"/>
    <w:qFormat/>
    <w:rsid w:val="005061BD"/>
    <w:pPr>
      <w:spacing w:before="240" w:line="480" w:lineRule="auto"/>
      <w:outlineLvl w:val="4"/>
    </w:pPr>
    <w:rPr>
      <w:rFonts w:ascii="Arial Narrow" w:hAnsi="Arial Narrow"/>
      <w:bCs/>
      <w:i/>
      <w:iCs/>
      <w:spacing w:val="30"/>
      <w:sz w:val="22"/>
      <w:szCs w:val="22"/>
    </w:rPr>
  </w:style>
  <w:style w:type="paragraph" w:styleId="Heading6">
    <w:name w:val="heading 6"/>
    <w:basedOn w:val="Normal"/>
    <w:next w:val="Normal"/>
    <w:qFormat/>
    <w:rsid w:val="005061BD"/>
    <w:pPr>
      <w:numPr>
        <w:ilvl w:val="5"/>
        <w:numId w:val="7"/>
      </w:numPr>
      <w:spacing w:before="240" w:after="60"/>
      <w:outlineLvl w:val="5"/>
    </w:pPr>
    <w:rPr>
      <w:b/>
      <w:bCs/>
      <w:sz w:val="22"/>
      <w:szCs w:val="22"/>
    </w:rPr>
  </w:style>
  <w:style w:type="paragraph" w:styleId="Heading7">
    <w:name w:val="heading 7"/>
    <w:basedOn w:val="Normal"/>
    <w:next w:val="Normal"/>
    <w:link w:val="Heading7Char"/>
    <w:semiHidden/>
    <w:qFormat/>
    <w:rsid w:val="005061BD"/>
    <w:pPr>
      <w:numPr>
        <w:ilvl w:val="6"/>
        <w:numId w:val="7"/>
      </w:numPr>
      <w:spacing w:before="240" w:after="60"/>
      <w:outlineLvl w:val="6"/>
    </w:pPr>
    <w:rPr>
      <w:sz w:val="24"/>
      <w:szCs w:val="24"/>
    </w:rPr>
  </w:style>
  <w:style w:type="paragraph" w:styleId="Heading8">
    <w:name w:val="heading 8"/>
    <w:basedOn w:val="Normal"/>
    <w:next w:val="Normal"/>
    <w:link w:val="Heading8Char"/>
    <w:semiHidden/>
    <w:qFormat/>
    <w:rsid w:val="005061BD"/>
    <w:pPr>
      <w:numPr>
        <w:ilvl w:val="7"/>
        <w:numId w:val="7"/>
      </w:numPr>
      <w:spacing w:before="240" w:after="60"/>
      <w:outlineLvl w:val="7"/>
    </w:pPr>
    <w:rPr>
      <w:i/>
      <w:iCs/>
      <w:sz w:val="24"/>
      <w:szCs w:val="24"/>
    </w:rPr>
  </w:style>
  <w:style w:type="paragraph" w:styleId="Heading9">
    <w:name w:val="heading 9"/>
    <w:basedOn w:val="Normal"/>
    <w:next w:val="Normal"/>
    <w:link w:val="Heading9Char"/>
    <w:semiHidden/>
    <w:qFormat/>
    <w:rsid w:val="005061BD"/>
    <w:pPr>
      <w:numPr>
        <w:ilvl w:val="8"/>
        <w:numId w:val="7"/>
      </w:numPr>
      <w:spacing w:before="240" w:after="60"/>
      <w:outlineLvl w:val="8"/>
    </w:pPr>
    <w:rPr>
      <w:rFonts w:ascii="Arial Narrow"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s"/>
    <w:qFormat/>
    <w:rsid w:val="005061BD"/>
    <w:pPr>
      <w:widowControl w:val="0"/>
      <w:spacing w:before="840" w:after="240" w:line="480" w:lineRule="auto"/>
    </w:pPr>
    <w:rPr>
      <w:rFonts w:ascii="Arial Narrow" w:hAnsi="Arial Narrow" w:cs="Arial"/>
      <w:b/>
      <w:bCs/>
      <w:kern w:val="28"/>
      <w:sz w:val="44"/>
      <w:szCs w:val="32"/>
    </w:rPr>
  </w:style>
  <w:style w:type="paragraph" w:styleId="Subtitle">
    <w:name w:val="Subtitle"/>
    <w:basedOn w:val="Normal"/>
    <w:next w:val="Normal"/>
    <w:rsid w:val="00F73B07"/>
    <w:rPr>
      <w:rFonts w:ascii="Trebuchet MS" w:eastAsia="Trebuchet MS" w:hAnsi="Trebuchet MS" w:cs="Trebuchet MS"/>
      <w:i/>
      <w:color w:val="666666"/>
      <w:sz w:val="26"/>
    </w:rPr>
  </w:style>
  <w:style w:type="paragraph" w:styleId="BalloonText">
    <w:name w:val="Balloon Text"/>
    <w:basedOn w:val="Normal"/>
    <w:link w:val="BalloonTextChar"/>
    <w:semiHidden/>
    <w:rsid w:val="005061BD"/>
    <w:rPr>
      <w:rFonts w:ascii="Tahoma" w:hAnsi="Tahoma" w:cs="Tahoma"/>
      <w:sz w:val="16"/>
      <w:szCs w:val="16"/>
    </w:rPr>
  </w:style>
  <w:style w:type="character" w:customStyle="1" w:styleId="BalloonTextChar">
    <w:name w:val="Balloon Text Char"/>
    <w:link w:val="BalloonText"/>
    <w:semiHidden/>
    <w:rsid w:val="005061B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E3512"/>
    <w:rPr>
      <w:sz w:val="18"/>
      <w:szCs w:val="18"/>
    </w:rPr>
  </w:style>
  <w:style w:type="paragraph" w:styleId="CommentText">
    <w:name w:val="annotation text"/>
    <w:basedOn w:val="Normal"/>
    <w:link w:val="CommentTextChar"/>
    <w:semiHidden/>
    <w:rsid w:val="005061BD"/>
  </w:style>
  <w:style w:type="character" w:customStyle="1" w:styleId="CommentTextChar">
    <w:name w:val="Comment Text Char"/>
    <w:basedOn w:val="DefaultParagraphFont"/>
    <w:link w:val="CommentText"/>
    <w:semiHidden/>
    <w:rsid w:val="004E351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061BD"/>
    <w:rPr>
      <w:b/>
      <w:bCs/>
    </w:rPr>
  </w:style>
  <w:style w:type="character" w:customStyle="1" w:styleId="CommentSubjectChar">
    <w:name w:val="Comment Subject Char"/>
    <w:basedOn w:val="CommentTextChar"/>
    <w:link w:val="CommentSubject"/>
    <w:semiHidden/>
    <w:rsid w:val="004E3512"/>
    <w:rPr>
      <w:rFonts w:ascii="Times New Roman" w:eastAsia="Times New Roman" w:hAnsi="Times New Roman" w:cs="Times New Roman"/>
      <w:b/>
      <w:bCs/>
      <w:sz w:val="20"/>
      <w:szCs w:val="20"/>
    </w:rPr>
  </w:style>
  <w:style w:type="character" w:customStyle="1" w:styleId="apple-style-span">
    <w:name w:val="apple-style-span"/>
    <w:basedOn w:val="DefaultParagraphFont"/>
    <w:rsid w:val="00CE10BD"/>
  </w:style>
  <w:style w:type="character" w:customStyle="1" w:styleId="Heading7Char">
    <w:name w:val="Heading 7 Char"/>
    <w:basedOn w:val="DefaultParagraphFont"/>
    <w:link w:val="Heading7"/>
    <w:semiHidden/>
    <w:rsid w:val="00E72EC0"/>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E72EC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E72EC0"/>
    <w:rPr>
      <w:rFonts w:ascii="Arial Narrow" w:eastAsia="Times New Roman" w:hAnsi="Arial Narrow" w:cs="Arial"/>
    </w:rPr>
  </w:style>
  <w:style w:type="paragraph" w:styleId="BodyText">
    <w:name w:val="Body Text"/>
    <w:basedOn w:val="Normal"/>
    <w:link w:val="BodyTextChar"/>
    <w:qFormat/>
    <w:rsid w:val="005061BD"/>
    <w:pPr>
      <w:spacing w:line="480" w:lineRule="auto"/>
      <w:ind w:firstLine="720"/>
    </w:pPr>
    <w:rPr>
      <w:sz w:val="24"/>
    </w:rPr>
  </w:style>
  <w:style w:type="character" w:customStyle="1" w:styleId="BodyTextChar">
    <w:name w:val="Body Text Char"/>
    <w:link w:val="BodyText"/>
    <w:rsid w:val="005061BD"/>
    <w:rPr>
      <w:rFonts w:ascii="Times New Roman" w:eastAsia="Times New Roman" w:hAnsi="Times New Roman" w:cs="Times New Roman"/>
      <w:sz w:val="24"/>
      <w:szCs w:val="20"/>
    </w:rPr>
  </w:style>
  <w:style w:type="character" w:customStyle="1" w:styleId="Heading1Char">
    <w:name w:val="Heading 1 Char"/>
    <w:link w:val="Heading1"/>
    <w:rsid w:val="005061BD"/>
    <w:rPr>
      <w:rFonts w:ascii="Arial Narrow" w:eastAsia="Times New Roman" w:hAnsi="Arial Narrow" w:cs="Arial"/>
      <w:b/>
      <w:bCs/>
      <w:kern w:val="32"/>
      <w:sz w:val="32"/>
      <w:szCs w:val="32"/>
    </w:rPr>
  </w:style>
  <w:style w:type="paragraph" w:customStyle="1" w:styleId="Authors">
    <w:name w:val="Authors"/>
    <w:next w:val="Heading1"/>
    <w:autoRedefine/>
    <w:qFormat/>
    <w:rsid w:val="005061BD"/>
    <w:pPr>
      <w:spacing w:before="480" w:after="480" w:line="480" w:lineRule="auto"/>
    </w:pPr>
    <w:rPr>
      <w:rFonts w:ascii="Arial Narrow" w:eastAsia="Times New Roman" w:hAnsi="Arial Narrow" w:cs="Times New Roman"/>
      <w:sz w:val="24"/>
      <w:szCs w:val="24"/>
    </w:rPr>
  </w:style>
  <w:style w:type="paragraph" w:customStyle="1" w:styleId="BodyNoIndent">
    <w:name w:val="BodyNoIndent"/>
    <w:basedOn w:val="BodyText"/>
    <w:qFormat/>
    <w:rsid w:val="005061BD"/>
    <w:pPr>
      <w:ind w:firstLine="0"/>
    </w:pPr>
  </w:style>
  <w:style w:type="paragraph" w:customStyle="1" w:styleId="SecondaryIdentification">
    <w:name w:val="SecondaryIdentification"/>
    <w:basedOn w:val="Normal"/>
    <w:qFormat/>
    <w:rsid w:val="005061BD"/>
    <w:pPr>
      <w:widowControl w:val="0"/>
      <w:spacing w:before="500"/>
      <w:contextualSpacing/>
    </w:pPr>
    <w:rPr>
      <w:rFonts w:ascii="Arial Narrow" w:hAnsi="Arial Narrow"/>
      <w:b/>
      <w:sz w:val="28"/>
    </w:rPr>
  </w:style>
  <w:style w:type="paragraph" w:customStyle="1" w:styleId="Notes">
    <w:name w:val="Notes"/>
    <w:basedOn w:val="Authors"/>
    <w:semiHidden/>
    <w:rsid w:val="005061BD"/>
  </w:style>
  <w:style w:type="paragraph" w:customStyle="1" w:styleId="useNote">
    <w:name w:val="useNote"/>
    <w:basedOn w:val="ListBullet"/>
    <w:semiHidden/>
    <w:rsid w:val="005061BD"/>
    <w:pPr>
      <w:spacing w:line="240" w:lineRule="auto"/>
    </w:pPr>
  </w:style>
  <w:style w:type="paragraph" w:customStyle="1" w:styleId="FigureCaption">
    <w:name w:val="FigureCaption"/>
    <w:basedOn w:val="Normal"/>
    <w:next w:val="BodyText"/>
    <w:autoRedefine/>
    <w:qFormat/>
    <w:rsid w:val="005061BD"/>
    <w:pPr>
      <w:numPr>
        <w:numId w:val="8"/>
      </w:numPr>
      <w:spacing w:before="240" w:after="240" w:line="480" w:lineRule="auto"/>
    </w:pPr>
    <w:rPr>
      <w:rFonts w:ascii="Arial Narrow" w:hAnsi="Arial Narrow"/>
      <w:sz w:val="24"/>
      <w:szCs w:val="18"/>
    </w:rPr>
  </w:style>
  <w:style w:type="paragraph" w:customStyle="1" w:styleId="Quotation">
    <w:name w:val="Quotation"/>
    <w:basedOn w:val="Normal"/>
    <w:qFormat/>
    <w:rsid w:val="005061BD"/>
    <w:pPr>
      <w:spacing w:before="80" w:after="80" w:line="480" w:lineRule="auto"/>
      <w:ind w:left="403"/>
    </w:pPr>
    <w:rPr>
      <w:sz w:val="24"/>
    </w:rPr>
  </w:style>
  <w:style w:type="paragraph" w:customStyle="1" w:styleId="Reference">
    <w:name w:val="Reference"/>
    <w:basedOn w:val="Normal"/>
    <w:qFormat/>
    <w:rsid w:val="005061BD"/>
    <w:pPr>
      <w:spacing w:line="480" w:lineRule="auto"/>
      <w:ind w:left="202" w:hanging="202"/>
    </w:pPr>
    <w:rPr>
      <w:sz w:val="24"/>
    </w:rPr>
  </w:style>
  <w:style w:type="character" w:customStyle="1" w:styleId="TableSpannerChar">
    <w:name w:val="TableSpanner Char"/>
    <w:link w:val="TableSpanner"/>
    <w:rsid w:val="005061BD"/>
    <w:rPr>
      <w:rFonts w:ascii="Arial Narrow" w:hAnsi="Arial Narrow"/>
      <w:szCs w:val="18"/>
    </w:rPr>
  </w:style>
  <w:style w:type="paragraph" w:customStyle="1" w:styleId="TableSpanner">
    <w:name w:val="TableSpanner"/>
    <w:basedOn w:val="Normal"/>
    <w:link w:val="TableSpannerChar"/>
    <w:qFormat/>
    <w:rsid w:val="005061BD"/>
    <w:pPr>
      <w:spacing w:line="220" w:lineRule="exact"/>
      <w:jc w:val="center"/>
    </w:pPr>
    <w:rPr>
      <w:rFonts w:ascii="Arial Narrow" w:eastAsiaTheme="minorEastAsia" w:hAnsi="Arial Narrow" w:cstheme="minorBidi"/>
      <w:sz w:val="22"/>
      <w:szCs w:val="18"/>
    </w:rPr>
  </w:style>
  <w:style w:type="paragraph" w:customStyle="1" w:styleId="SectionHeading">
    <w:name w:val="SectionHeading"/>
    <w:basedOn w:val="Normal"/>
    <w:qFormat/>
    <w:rsid w:val="005061BD"/>
    <w:pPr>
      <w:spacing w:before="480" w:after="480" w:line="480" w:lineRule="exact"/>
    </w:pPr>
    <w:rPr>
      <w:rFonts w:ascii="Arial Narrow" w:hAnsi="Arial Narrow"/>
      <w:b/>
      <w:sz w:val="40"/>
      <w:szCs w:val="40"/>
    </w:rPr>
  </w:style>
  <w:style w:type="paragraph" w:customStyle="1" w:styleId="TOCLists">
    <w:name w:val="TOCLists"/>
    <w:basedOn w:val="TOC1"/>
    <w:qFormat/>
    <w:rsid w:val="005061BD"/>
    <w:pPr>
      <w:ind w:left="720" w:hanging="720"/>
    </w:pPr>
  </w:style>
  <w:style w:type="paragraph" w:styleId="TOC1">
    <w:name w:val="toc 1"/>
    <w:basedOn w:val="Normal"/>
    <w:next w:val="Normal"/>
    <w:autoRedefine/>
    <w:rsid w:val="005061BD"/>
    <w:pPr>
      <w:tabs>
        <w:tab w:val="right" w:leader="dot" w:pos="10260"/>
      </w:tabs>
      <w:spacing w:line="480" w:lineRule="auto"/>
    </w:pPr>
    <w:rPr>
      <w:rFonts w:ascii="Arial Narrow" w:hAnsi="Arial Narrow"/>
      <w:sz w:val="24"/>
    </w:rPr>
  </w:style>
  <w:style w:type="paragraph" w:customStyle="1" w:styleId="TableCellHeading">
    <w:name w:val="TableCellHeading"/>
    <w:basedOn w:val="Normal"/>
    <w:qFormat/>
    <w:rsid w:val="005061BD"/>
    <w:pPr>
      <w:spacing w:line="220" w:lineRule="exact"/>
      <w:jc w:val="center"/>
    </w:pPr>
    <w:rPr>
      <w:rFonts w:ascii="Arial Narrow" w:hAnsi="Arial Narrow"/>
      <w:b/>
      <w:szCs w:val="18"/>
    </w:rPr>
  </w:style>
  <w:style w:type="paragraph" w:customStyle="1" w:styleId="TableFootnote">
    <w:name w:val="TableFootnote"/>
    <w:basedOn w:val="Normal"/>
    <w:qFormat/>
    <w:rsid w:val="005061BD"/>
    <w:pPr>
      <w:spacing w:before="80" w:line="480" w:lineRule="auto"/>
    </w:pPr>
    <w:rPr>
      <w:szCs w:val="16"/>
    </w:rPr>
  </w:style>
  <w:style w:type="paragraph" w:customStyle="1" w:styleId="TableHeadnote">
    <w:name w:val="TableHeadnote"/>
    <w:basedOn w:val="Normal"/>
    <w:next w:val="TableCellHeading"/>
    <w:qFormat/>
    <w:rsid w:val="005061BD"/>
    <w:pPr>
      <w:spacing w:line="480" w:lineRule="auto"/>
    </w:pPr>
    <w:rPr>
      <w:szCs w:val="16"/>
    </w:rPr>
  </w:style>
  <w:style w:type="paragraph" w:customStyle="1" w:styleId="TableTitle">
    <w:name w:val="TableTitle"/>
    <w:basedOn w:val="Normal"/>
    <w:next w:val="TableHeadnote"/>
    <w:qFormat/>
    <w:rsid w:val="005061BD"/>
    <w:pPr>
      <w:spacing w:before="240" w:line="480" w:lineRule="auto"/>
    </w:pPr>
    <w:rPr>
      <w:rFonts w:ascii="Arial Narrow" w:hAnsi="Arial Narrow"/>
      <w:sz w:val="24"/>
      <w:szCs w:val="18"/>
    </w:rPr>
  </w:style>
  <w:style w:type="paragraph" w:customStyle="1" w:styleId="Logo">
    <w:name w:val="Logo"/>
    <w:semiHidden/>
    <w:rsid w:val="005061BD"/>
    <w:pPr>
      <w:spacing w:after="0" w:line="240" w:lineRule="auto"/>
    </w:pPr>
    <w:rPr>
      <w:rFonts w:ascii="Times" w:eastAsia="Times New Roman" w:hAnsi="Times" w:cs="Times New Roman"/>
      <w:sz w:val="24"/>
      <w:szCs w:val="20"/>
    </w:rPr>
  </w:style>
  <w:style w:type="paragraph" w:styleId="TableofFigures">
    <w:name w:val="table of figures"/>
    <w:semiHidden/>
    <w:rsid w:val="005061BD"/>
    <w:pPr>
      <w:spacing w:after="0" w:line="480" w:lineRule="auto"/>
    </w:pPr>
    <w:rPr>
      <w:rFonts w:ascii="Arial Narrow" w:eastAsia="Times New Roman" w:hAnsi="Arial Narrow" w:cs="Times New Roman"/>
      <w:sz w:val="24"/>
      <w:szCs w:val="20"/>
    </w:rPr>
  </w:style>
  <w:style w:type="paragraph" w:customStyle="1" w:styleId="BOTPOffice">
    <w:name w:val="BOTPOffice"/>
    <w:basedOn w:val="Normal"/>
    <w:semiHidden/>
    <w:rsid w:val="005061BD"/>
    <w:pPr>
      <w:spacing w:line="320" w:lineRule="exact"/>
      <w:ind w:left="2520"/>
    </w:pPr>
    <w:rPr>
      <w:rFonts w:ascii="Arial Narrow" w:hAnsi="Arial Narrow"/>
      <w:b/>
      <w:sz w:val="28"/>
      <w:szCs w:val="28"/>
    </w:rPr>
  </w:style>
  <w:style w:type="paragraph" w:customStyle="1" w:styleId="BOTPOfficial">
    <w:name w:val="BOTPOfficial"/>
    <w:basedOn w:val="Normal"/>
    <w:semiHidden/>
    <w:rsid w:val="005061BD"/>
    <w:pPr>
      <w:spacing w:after="240" w:line="320" w:lineRule="atLeast"/>
      <w:ind w:left="2520"/>
    </w:pPr>
    <w:rPr>
      <w:rFonts w:ascii="Arial Narrow" w:hAnsi="Arial Narrow"/>
      <w:sz w:val="28"/>
      <w:szCs w:val="28"/>
    </w:rPr>
  </w:style>
  <w:style w:type="paragraph" w:customStyle="1" w:styleId="Publisher">
    <w:name w:val="Publisher"/>
    <w:basedOn w:val="Normal"/>
    <w:semiHidden/>
    <w:rsid w:val="005061BD"/>
    <w:pPr>
      <w:spacing w:before="480" w:line="260" w:lineRule="exact"/>
      <w:ind w:left="2520"/>
    </w:pPr>
    <w:rPr>
      <w:rFonts w:ascii="Arial Narrow" w:hAnsi="Arial Narrow"/>
      <w:sz w:val="24"/>
      <w:szCs w:val="24"/>
    </w:rPr>
  </w:style>
  <w:style w:type="paragraph" w:customStyle="1" w:styleId="BOTPNotes">
    <w:name w:val="BOTPNotes"/>
    <w:basedOn w:val="Normal"/>
    <w:link w:val="BOTPNotesChar"/>
    <w:semiHidden/>
    <w:rsid w:val="005061BD"/>
    <w:pPr>
      <w:spacing w:before="2280" w:line="220" w:lineRule="exact"/>
      <w:ind w:left="2520"/>
    </w:pPr>
    <w:rPr>
      <w:rFonts w:ascii="Arial Narrow" w:hAnsi="Arial Narrow"/>
      <w:sz w:val="18"/>
      <w:szCs w:val="18"/>
    </w:rPr>
  </w:style>
  <w:style w:type="character" w:customStyle="1" w:styleId="BOTPNotesChar">
    <w:name w:val="BOTPNotes Char"/>
    <w:link w:val="BOTPNotes"/>
    <w:semiHidden/>
    <w:rsid w:val="005061BD"/>
    <w:rPr>
      <w:rFonts w:ascii="Arial Narrow" w:eastAsia="Times New Roman" w:hAnsi="Arial Narrow" w:cs="Times New Roman"/>
      <w:sz w:val="18"/>
      <w:szCs w:val="18"/>
    </w:rPr>
  </w:style>
  <w:style w:type="paragraph" w:customStyle="1" w:styleId="BOTPNotes2">
    <w:name w:val="BOTPNotes2"/>
    <w:basedOn w:val="BOTPNotes"/>
    <w:semiHidden/>
    <w:rsid w:val="005061BD"/>
    <w:pPr>
      <w:spacing w:before="480"/>
    </w:pPr>
  </w:style>
  <w:style w:type="paragraph" w:styleId="Footer">
    <w:name w:val="footer"/>
    <w:basedOn w:val="Normal"/>
    <w:link w:val="FooterChar"/>
    <w:rsid w:val="005061BD"/>
    <w:pPr>
      <w:tabs>
        <w:tab w:val="center" w:pos="4320"/>
        <w:tab w:val="right" w:pos="8640"/>
      </w:tabs>
    </w:pPr>
  </w:style>
  <w:style w:type="character" w:customStyle="1" w:styleId="FooterChar">
    <w:name w:val="Footer Char"/>
    <w:basedOn w:val="DefaultParagraphFont"/>
    <w:link w:val="Footer"/>
    <w:rsid w:val="00E72EC0"/>
    <w:rPr>
      <w:rFonts w:ascii="Times New Roman" w:eastAsia="Times New Roman" w:hAnsi="Times New Roman" w:cs="Times New Roman"/>
      <w:sz w:val="20"/>
      <w:szCs w:val="20"/>
    </w:rPr>
  </w:style>
  <w:style w:type="character" w:styleId="Hyperlink">
    <w:name w:val="Hyperlink"/>
    <w:qFormat/>
    <w:rsid w:val="005061BD"/>
    <w:rPr>
      <w:i/>
      <w:color w:val="auto"/>
      <w:u w:val="none"/>
    </w:rPr>
  </w:style>
  <w:style w:type="paragraph" w:styleId="ListNumber">
    <w:name w:val="List Number"/>
    <w:basedOn w:val="Normal"/>
    <w:qFormat/>
    <w:rsid w:val="005061BD"/>
    <w:pPr>
      <w:numPr>
        <w:numId w:val="28"/>
      </w:numPr>
      <w:spacing w:before="80" w:after="80" w:line="480" w:lineRule="auto"/>
    </w:pPr>
    <w:rPr>
      <w:sz w:val="24"/>
    </w:rPr>
  </w:style>
  <w:style w:type="paragraph" w:styleId="ListNumber2">
    <w:name w:val="List Number 2"/>
    <w:basedOn w:val="Normal"/>
    <w:qFormat/>
    <w:rsid w:val="005061BD"/>
    <w:pPr>
      <w:numPr>
        <w:numId w:val="29"/>
      </w:numPr>
      <w:spacing w:before="80" w:after="80" w:line="480" w:lineRule="auto"/>
    </w:pPr>
    <w:rPr>
      <w:sz w:val="24"/>
    </w:rPr>
  </w:style>
  <w:style w:type="paragraph" w:styleId="ListNumber3">
    <w:name w:val="List Number 3"/>
    <w:basedOn w:val="Normal"/>
    <w:qFormat/>
    <w:rsid w:val="005061BD"/>
    <w:pPr>
      <w:numPr>
        <w:numId w:val="30"/>
      </w:numPr>
      <w:spacing w:before="80" w:after="80" w:line="480" w:lineRule="auto"/>
    </w:pPr>
    <w:rPr>
      <w:sz w:val="24"/>
    </w:rPr>
  </w:style>
  <w:style w:type="character" w:styleId="PageNumber">
    <w:name w:val="page number"/>
    <w:basedOn w:val="DefaultParagraphFont"/>
    <w:semiHidden/>
    <w:rsid w:val="005061BD"/>
  </w:style>
  <w:style w:type="paragraph" w:styleId="Signature">
    <w:name w:val="Signature"/>
    <w:basedOn w:val="Normal"/>
    <w:link w:val="SignatureChar"/>
    <w:semiHidden/>
    <w:rsid w:val="005061BD"/>
    <w:pPr>
      <w:ind w:left="4320"/>
    </w:pPr>
  </w:style>
  <w:style w:type="character" w:customStyle="1" w:styleId="SignatureChar">
    <w:name w:val="Signature Char"/>
    <w:basedOn w:val="DefaultParagraphFont"/>
    <w:link w:val="Signature"/>
    <w:semiHidden/>
    <w:rsid w:val="00E72EC0"/>
    <w:rPr>
      <w:rFonts w:ascii="Times New Roman" w:eastAsia="Times New Roman" w:hAnsi="Times New Roman" w:cs="Times New Roman"/>
      <w:sz w:val="20"/>
      <w:szCs w:val="20"/>
    </w:rPr>
  </w:style>
  <w:style w:type="table" w:styleId="Table3Deffects1">
    <w:name w:val="Table 3D effects 1"/>
    <w:basedOn w:val="TableNormal"/>
    <w:semiHidden/>
    <w:rsid w:val="005061B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61B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61B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61B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61B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61B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61B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61B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61B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61B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061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061B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061B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61B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61B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61B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61B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061B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61B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61B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qFormat/>
    <w:rsid w:val="005061BD"/>
    <w:pPr>
      <w:numPr>
        <w:numId w:val="3"/>
      </w:numPr>
      <w:spacing w:line="480" w:lineRule="auto"/>
    </w:pPr>
    <w:rPr>
      <w:sz w:val="24"/>
    </w:rPr>
  </w:style>
  <w:style w:type="paragraph" w:styleId="ListBullet2">
    <w:name w:val="List Bullet 2"/>
    <w:basedOn w:val="Normal"/>
    <w:qFormat/>
    <w:rsid w:val="005061BD"/>
    <w:pPr>
      <w:numPr>
        <w:numId w:val="1"/>
      </w:numPr>
      <w:spacing w:line="480" w:lineRule="auto"/>
    </w:pPr>
    <w:rPr>
      <w:sz w:val="24"/>
    </w:rPr>
  </w:style>
  <w:style w:type="paragraph" w:styleId="ListBullet3">
    <w:name w:val="List Bullet 3"/>
    <w:basedOn w:val="Normal"/>
    <w:qFormat/>
    <w:rsid w:val="005061BD"/>
    <w:pPr>
      <w:numPr>
        <w:numId w:val="2"/>
      </w:numPr>
      <w:spacing w:line="480" w:lineRule="auto"/>
    </w:pPr>
    <w:rPr>
      <w:sz w:val="24"/>
    </w:rPr>
  </w:style>
  <w:style w:type="character" w:styleId="FootnoteReference">
    <w:name w:val="footnote reference"/>
    <w:semiHidden/>
    <w:rsid w:val="005061BD"/>
    <w:rPr>
      <w:vertAlign w:val="superscript"/>
    </w:rPr>
  </w:style>
  <w:style w:type="character" w:customStyle="1" w:styleId="MultipartFigCap">
    <w:name w:val="MultipartFigCap"/>
    <w:qFormat/>
    <w:rsid w:val="005061BD"/>
    <w:rPr>
      <w:rFonts w:ascii="Arial Narrow" w:hAnsi="Arial Narrow"/>
      <w:i/>
    </w:rPr>
  </w:style>
  <w:style w:type="character" w:customStyle="1" w:styleId="Run-inHead">
    <w:name w:val="Run-inHead"/>
    <w:qFormat/>
    <w:rsid w:val="005061BD"/>
    <w:rPr>
      <w:rFonts w:ascii="Times New Roman" w:hAnsi="Times New Roman"/>
      <w:i/>
      <w:sz w:val="24"/>
      <w:szCs w:val="20"/>
    </w:rPr>
  </w:style>
  <w:style w:type="character" w:customStyle="1" w:styleId="Subscript">
    <w:name w:val="Subscript"/>
    <w:qFormat/>
    <w:rsid w:val="005061BD"/>
    <w:rPr>
      <w:vertAlign w:val="subscript"/>
    </w:rPr>
  </w:style>
  <w:style w:type="character" w:customStyle="1" w:styleId="Superscript">
    <w:name w:val="Superscript"/>
    <w:qFormat/>
    <w:rsid w:val="005061BD"/>
    <w:rPr>
      <w:vertAlign w:val="superscript"/>
    </w:rPr>
  </w:style>
  <w:style w:type="paragraph" w:customStyle="1" w:styleId="Series">
    <w:name w:val="Series"/>
    <w:semiHidden/>
    <w:rsid w:val="005061BD"/>
    <w:pPr>
      <w:spacing w:before="1440" w:after="1440" w:line="240" w:lineRule="auto"/>
    </w:pPr>
    <w:rPr>
      <w:rFonts w:ascii="Arial Narrow" w:eastAsia="Times New Roman" w:hAnsi="Arial Narrow" w:cs="Arial"/>
      <w:bCs/>
      <w:kern w:val="32"/>
      <w:sz w:val="28"/>
      <w:szCs w:val="32"/>
    </w:rPr>
  </w:style>
  <w:style w:type="paragraph" w:customStyle="1" w:styleId="DBID">
    <w:name w:val="DBID"/>
    <w:semiHidden/>
    <w:rsid w:val="005061BD"/>
    <w:pPr>
      <w:spacing w:after="0" w:line="240" w:lineRule="auto"/>
    </w:pPr>
    <w:rPr>
      <w:rFonts w:ascii="Arial Narrow" w:eastAsia="Times New Roman" w:hAnsi="Arial Narrow" w:cs="Arial"/>
      <w:b/>
      <w:bCs/>
      <w:kern w:val="32"/>
      <w:sz w:val="24"/>
      <w:szCs w:val="32"/>
    </w:rPr>
  </w:style>
  <w:style w:type="paragraph" w:customStyle="1" w:styleId="GlossaryDefinition">
    <w:name w:val="GlossaryDefinition"/>
    <w:basedOn w:val="BodyText"/>
    <w:qFormat/>
    <w:rsid w:val="005061BD"/>
    <w:pPr>
      <w:ind w:firstLine="0"/>
    </w:pPr>
  </w:style>
  <w:style w:type="character" w:customStyle="1" w:styleId="GlossaryTerm">
    <w:name w:val="GlossaryTerm"/>
    <w:qFormat/>
    <w:rsid w:val="005061BD"/>
    <w:rPr>
      <w:rFonts w:ascii="Arial Narrow" w:hAnsi="Arial Narrow"/>
      <w:b/>
    </w:rPr>
  </w:style>
  <w:style w:type="character" w:styleId="Emphasis">
    <w:name w:val="Emphasis"/>
    <w:qFormat/>
    <w:rsid w:val="005061BD"/>
    <w:rPr>
      <w:rFonts w:ascii="Times New Roman" w:hAnsi="Times New Roman"/>
      <w:i/>
      <w:iCs/>
    </w:rPr>
  </w:style>
  <w:style w:type="character" w:styleId="Strong">
    <w:name w:val="Strong"/>
    <w:qFormat/>
    <w:rsid w:val="005061BD"/>
    <w:rPr>
      <w:rFonts w:ascii="Times New Roman" w:hAnsi="Times New Roman"/>
      <w:b/>
      <w:bCs/>
    </w:rPr>
  </w:style>
  <w:style w:type="character" w:customStyle="1" w:styleId="EmphStrong">
    <w:name w:val="EmphStrong"/>
    <w:qFormat/>
    <w:rsid w:val="005061BD"/>
    <w:rPr>
      <w:rFonts w:ascii="Times New Roman" w:hAnsi="Times New Roman"/>
      <w:b/>
      <w:i/>
    </w:rPr>
  </w:style>
  <w:style w:type="paragraph" w:customStyle="1" w:styleId="TOCHeading1">
    <w:name w:val="TOCHeading1"/>
    <w:basedOn w:val="Heading1"/>
    <w:qFormat/>
    <w:rsid w:val="005061BD"/>
  </w:style>
  <w:style w:type="paragraph" w:customStyle="1" w:styleId="ConvFactorBody">
    <w:name w:val="ConvFactorBody"/>
    <w:basedOn w:val="Normal"/>
    <w:semiHidden/>
    <w:rsid w:val="005061BD"/>
    <w:pPr>
      <w:tabs>
        <w:tab w:val="left" w:pos="540"/>
      </w:tabs>
      <w:autoSpaceDE w:val="0"/>
      <w:autoSpaceDN w:val="0"/>
      <w:adjustRightInd w:val="0"/>
      <w:spacing w:line="480" w:lineRule="auto"/>
      <w:textAlignment w:val="baseline"/>
    </w:pPr>
    <w:rPr>
      <w:rFonts w:ascii="Univers 57 Condensed" w:hAnsi="Univers 57 Condensed" w:cs="Univers 57 Condensed"/>
      <w:color w:val="000000"/>
    </w:rPr>
  </w:style>
  <w:style w:type="paragraph" w:customStyle="1" w:styleId="Noparagraphstyle">
    <w:name w:val="[No paragraph style]"/>
    <w:semiHidden/>
    <w:rsid w:val="005061BD"/>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TableCellBody">
    <w:name w:val="TableCellBody"/>
    <w:basedOn w:val="BodyText"/>
    <w:qFormat/>
    <w:rsid w:val="005061BD"/>
    <w:pPr>
      <w:spacing w:line="240" w:lineRule="auto"/>
      <w:ind w:firstLine="0"/>
    </w:pPr>
    <w:rPr>
      <w:sz w:val="20"/>
      <w:szCs w:val="24"/>
    </w:rPr>
  </w:style>
  <w:style w:type="paragraph" w:customStyle="1" w:styleId="TableCellDecAlign">
    <w:name w:val="TableCellDecAlign"/>
    <w:basedOn w:val="BodyText"/>
    <w:qFormat/>
    <w:rsid w:val="005061BD"/>
    <w:pPr>
      <w:tabs>
        <w:tab w:val="decimal" w:pos="720"/>
      </w:tabs>
      <w:spacing w:line="240" w:lineRule="auto"/>
      <w:ind w:firstLine="0"/>
    </w:pPr>
    <w:rPr>
      <w:sz w:val="20"/>
      <w:szCs w:val="24"/>
    </w:rPr>
  </w:style>
  <w:style w:type="paragraph" w:styleId="TOC2">
    <w:name w:val="toc 2"/>
    <w:basedOn w:val="Normal"/>
    <w:next w:val="Normal"/>
    <w:autoRedefine/>
    <w:rsid w:val="005061BD"/>
    <w:pPr>
      <w:tabs>
        <w:tab w:val="right" w:leader="dot" w:pos="10260"/>
      </w:tabs>
      <w:spacing w:line="480" w:lineRule="auto"/>
      <w:ind w:left="202"/>
    </w:pPr>
    <w:rPr>
      <w:rFonts w:ascii="Arial Narrow" w:hAnsi="Arial Narrow"/>
      <w:sz w:val="24"/>
    </w:rPr>
  </w:style>
  <w:style w:type="paragraph" w:styleId="TOC3">
    <w:name w:val="toc 3"/>
    <w:basedOn w:val="Normal"/>
    <w:next w:val="Normal"/>
    <w:autoRedefine/>
    <w:rsid w:val="005061BD"/>
    <w:pPr>
      <w:tabs>
        <w:tab w:val="right" w:leader="dot" w:pos="10260"/>
      </w:tabs>
      <w:spacing w:line="480" w:lineRule="auto"/>
      <w:ind w:left="403"/>
    </w:pPr>
    <w:rPr>
      <w:rFonts w:ascii="Arial Narrow" w:hAnsi="Arial Narrow"/>
      <w:sz w:val="24"/>
    </w:rPr>
  </w:style>
  <w:style w:type="paragraph" w:styleId="TOC4">
    <w:name w:val="toc 4"/>
    <w:basedOn w:val="Normal"/>
    <w:next w:val="Normal"/>
    <w:autoRedefine/>
    <w:rsid w:val="005061BD"/>
    <w:pPr>
      <w:tabs>
        <w:tab w:val="right" w:leader="dot" w:pos="10260"/>
      </w:tabs>
      <w:spacing w:line="480" w:lineRule="auto"/>
      <w:ind w:left="605"/>
    </w:pPr>
    <w:rPr>
      <w:rFonts w:ascii="Arial Narrow" w:hAnsi="Arial Narrow"/>
      <w:sz w:val="24"/>
    </w:rPr>
  </w:style>
  <w:style w:type="paragraph" w:styleId="TOC5">
    <w:name w:val="toc 5"/>
    <w:basedOn w:val="Normal"/>
    <w:next w:val="Normal"/>
    <w:autoRedefine/>
    <w:rsid w:val="005061BD"/>
    <w:pPr>
      <w:tabs>
        <w:tab w:val="right" w:leader="dot" w:pos="10260"/>
      </w:tabs>
      <w:spacing w:line="480" w:lineRule="auto"/>
      <w:ind w:left="806"/>
    </w:pPr>
    <w:rPr>
      <w:rFonts w:ascii="Arial Narrow" w:hAnsi="Arial Narrow"/>
      <w:sz w:val="24"/>
    </w:rPr>
  </w:style>
  <w:style w:type="character" w:customStyle="1" w:styleId="SuperEmphasis">
    <w:name w:val="SuperEmphasis"/>
    <w:qFormat/>
    <w:rsid w:val="005061BD"/>
    <w:rPr>
      <w:rFonts w:ascii="Times New Roman" w:hAnsi="Times New Roman"/>
      <w:i/>
      <w:vertAlign w:val="superscript"/>
    </w:rPr>
  </w:style>
  <w:style w:type="character" w:customStyle="1" w:styleId="SubEmphasis">
    <w:name w:val="SubEmphasis"/>
    <w:qFormat/>
    <w:rsid w:val="005061BD"/>
    <w:rPr>
      <w:rFonts w:ascii="Times New Roman" w:hAnsi="Times New Roman"/>
      <w:i/>
      <w:vertAlign w:val="subscript"/>
    </w:rPr>
  </w:style>
  <w:style w:type="paragraph" w:customStyle="1" w:styleId="TOCHeading2">
    <w:name w:val="TOCHeading2"/>
    <w:basedOn w:val="TOCHeading1"/>
    <w:qFormat/>
    <w:rsid w:val="005061BD"/>
    <w:rPr>
      <w:sz w:val="24"/>
    </w:rPr>
  </w:style>
  <w:style w:type="paragraph" w:customStyle="1" w:styleId="EquationNumbered">
    <w:name w:val="Equation (Numbered)"/>
    <w:basedOn w:val="BodyText"/>
    <w:next w:val="BodyText"/>
    <w:qFormat/>
    <w:rsid w:val="005061BD"/>
    <w:pPr>
      <w:tabs>
        <w:tab w:val="center" w:pos="4680"/>
        <w:tab w:val="right" w:pos="10080"/>
      </w:tabs>
      <w:spacing w:before="120" w:after="120"/>
      <w:ind w:firstLine="0"/>
    </w:pPr>
  </w:style>
  <w:style w:type="paragraph" w:customStyle="1" w:styleId="EquationWhere">
    <w:name w:val="EquationWhere"/>
    <w:qFormat/>
    <w:rsid w:val="005061BD"/>
    <w:pPr>
      <w:tabs>
        <w:tab w:val="right" w:pos="1080"/>
        <w:tab w:val="left" w:pos="1800"/>
      </w:tabs>
      <w:spacing w:after="0" w:line="480" w:lineRule="auto"/>
      <w:ind w:left="1800" w:hanging="1800"/>
    </w:pPr>
    <w:rPr>
      <w:rFonts w:ascii="Times New Roman" w:eastAsia="Times New Roman" w:hAnsi="Times New Roman" w:cs="Times New Roman"/>
      <w:sz w:val="24"/>
      <w:szCs w:val="20"/>
    </w:rPr>
  </w:style>
  <w:style w:type="paragraph" w:customStyle="1" w:styleId="EquationWhere2">
    <w:name w:val="EquationWhere2"/>
    <w:basedOn w:val="EquationWhere"/>
    <w:qFormat/>
    <w:rsid w:val="005061BD"/>
    <w:pPr>
      <w:ind w:hanging="720"/>
    </w:pPr>
  </w:style>
  <w:style w:type="character" w:customStyle="1" w:styleId="EmphasisUC">
    <w:name w:val="EmphasisUC"/>
    <w:uiPriority w:val="1"/>
    <w:qFormat/>
    <w:rsid w:val="005061BD"/>
    <w:rPr>
      <w:rFonts w:ascii="Arial Narrow" w:hAnsi="Arial Narrow"/>
      <w:i/>
    </w:rPr>
  </w:style>
  <w:style w:type="character" w:customStyle="1" w:styleId="EmphasisStrongUC">
    <w:name w:val="EmphasisStrongUC"/>
    <w:uiPriority w:val="1"/>
    <w:qFormat/>
    <w:rsid w:val="005061BD"/>
    <w:rPr>
      <w:rFonts w:ascii="Arial Narrow" w:hAnsi="Arial Narrow"/>
      <w:i/>
    </w:rPr>
  </w:style>
  <w:style w:type="character" w:customStyle="1" w:styleId="SubEmphasisUC">
    <w:name w:val="SubEmphasisUC"/>
    <w:uiPriority w:val="1"/>
    <w:qFormat/>
    <w:rsid w:val="005061BD"/>
    <w:rPr>
      <w:rFonts w:ascii="Arial Narrow" w:hAnsi="Arial Narrow"/>
      <w:i/>
      <w:vertAlign w:val="subscript"/>
    </w:rPr>
  </w:style>
  <w:style w:type="character" w:customStyle="1" w:styleId="SuperEmphasisUC">
    <w:name w:val="SuperEmphasisUC"/>
    <w:uiPriority w:val="1"/>
    <w:qFormat/>
    <w:rsid w:val="005061BD"/>
    <w:rPr>
      <w:rFonts w:ascii="Arial Narrow" w:hAnsi="Arial Narrow"/>
      <w:i w:val="0"/>
      <w:vertAlign w:val="superscript"/>
    </w:rPr>
  </w:style>
  <w:style w:type="paragraph" w:styleId="Header">
    <w:name w:val="header"/>
    <w:basedOn w:val="Normal"/>
    <w:link w:val="HeaderChar"/>
    <w:uiPriority w:val="99"/>
    <w:unhideWhenUsed/>
    <w:rsid w:val="00173621"/>
    <w:pPr>
      <w:tabs>
        <w:tab w:val="center" w:pos="4680"/>
        <w:tab w:val="right" w:pos="9360"/>
      </w:tabs>
    </w:pPr>
  </w:style>
  <w:style w:type="character" w:customStyle="1" w:styleId="HeaderChar">
    <w:name w:val="Header Char"/>
    <w:basedOn w:val="DefaultParagraphFont"/>
    <w:link w:val="Header"/>
    <w:uiPriority w:val="99"/>
    <w:rsid w:val="00173621"/>
    <w:rPr>
      <w:rFonts w:eastAsiaTheme="minorHAnsi"/>
    </w:rPr>
  </w:style>
  <w:style w:type="paragraph" w:styleId="Caption">
    <w:name w:val="caption"/>
    <w:basedOn w:val="Normal"/>
    <w:next w:val="Normal"/>
    <w:uiPriority w:val="35"/>
    <w:unhideWhenUsed/>
    <w:qFormat/>
    <w:rsid w:val="0019759E"/>
    <w:rPr>
      <w:b/>
      <w:bCs/>
      <w:color w:val="4F81BD" w:themeColor="accent1"/>
      <w:sz w:val="18"/>
      <w:szCs w:val="18"/>
    </w:rPr>
  </w:style>
  <w:style w:type="paragraph" w:styleId="DocumentMap">
    <w:name w:val="Document Map"/>
    <w:basedOn w:val="Normal"/>
    <w:link w:val="DocumentMapChar"/>
    <w:uiPriority w:val="99"/>
    <w:semiHidden/>
    <w:unhideWhenUsed/>
    <w:rsid w:val="00B0435B"/>
    <w:rPr>
      <w:rFonts w:ascii="Lucida Grande" w:hAnsi="Lucida Grande" w:cs="Lucida Grande"/>
    </w:rPr>
  </w:style>
  <w:style w:type="character" w:customStyle="1" w:styleId="DocumentMapChar">
    <w:name w:val="Document Map Char"/>
    <w:basedOn w:val="DefaultParagraphFont"/>
    <w:link w:val="DocumentMap"/>
    <w:uiPriority w:val="99"/>
    <w:semiHidden/>
    <w:rsid w:val="00B0435B"/>
    <w:rPr>
      <w:rFonts w:ascii="Lucida Grande" w:hAnsi="Lucida Grande" w:cs="Lucida Grande"/>
      <w:sz w:val="24"/>
      <w:szCs w:val="24"/>
    </w:rPr>
  </w:style>
  <w:style w:type="paragraph" w:styleId="FootnoteText">
    <w:name w:val="footnote text"/>
    <w:basedOn w:val="Normal"/>
    <w:link w:val="FootnoteTextChar"/>
    <w:uiPriority w:val="99"/>
    <w:unhideWhenUsed/>
    <w:rsid w:val="00B0435B"/>
  </w:style>
  <w:style w:type="character" w:customStyle="1" w:styleId="FootnoteTextChar">
    <w:name w:val="Footnote Text Char"/>
    <w:basedOn w:val="DefaultParagraphFont"/>
    <w:link w:val="FootnoteText"/>
    <w:uiPriority w:val="99"/>
    <w:rsid w:val="00B0435B"/>
    <w:rPr>
      <w:sz w:val="24"/>
      <w:szCs w:val="24"/>
    </w:rPr>
  </w:style>
  <w:style w:type="paragraph" w:customStyle="1" w:styleId="TableTitleT">
    <w:name w:val="TableTitle_T"/>
    <w:basedOn w:val="TableTitle"/>
    <w:autoRedefine/>
    <w:qFormat/>
    <w:rsid w:val="005061BD"/>
    <w:pPr>
      <w:numPr>
        <w:numId w:val="16"/>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6" w:uiPriority="39"/>
    <w:lsdException w:name="toc 7" w:uiPriority="39"/>
    <w:lsdException w:name="toc 8" w:uiPriority="39"/>
    <w:lsdException w:name="toc 9" w:uiPriority="39"/>
    <w:lsdException w:name="Normal Indent" w:uiPriority="99"/>
    <w:lsdException w:name="footnote text" w:uiPriority="99"/>
    <w:lsdException w:name="header" w:uiPriority="99"/>
    <w:lsdException w:name="index heading" w:uiPriority="99"/>
    <w:lsdException w:name="caption" w:uiPriority="35"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uiPriority="99"/>
    <w:lsdException w:name="List Bullet 5" w:uiPriority="99"/>
    <w:lsdException w:name="List Number 2" w:qFormat="1"/>
    <w:lsdException w:name="List Number 3" w:qFormat="1"/>
    <w:lsdException w:name="List Number 4" w:uiPriority="99"/>
    <w:lsdException w:name="List Number 5" w:uiPriority="99"/>
    <w:lsdException w:name="Title" w:semiHidden="0" w:unhideWhenUsed="0" w:qFormat="1"/>
    <w:lsdException w:name="Closing"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11"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qFormat="1"/>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1BD"/>
    <w:pPr>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
    <w:link w:val="Heading1Char"/>
    <w:qFormat/>
    <w:rsid w:val="005061BD"/>
    <w:pPr>
      <w:keepNext/>
      <w:spacing w:before="240" w:line="480" w:lineRule="auto"/>
      <w:outlineLvl w:val="0"/>
    </w:pPr>
    <w:rPr>
      <w:rFonts w:ascii="Arial Narrow" w:hAnsi="Arial Narrow" w:cs="Arial"/>
      <w:b/>
      <w:bCs/>
      <w:kern w:val="32"/>
      <w:sz w:val="32"/>
      <w:szCs w:val="32"/>
    </w:rPr>
  </w:style>
  <w:style w:type="paragraph" w:styleId="Heading2">
    <w:name w:val="heading 2"/>
    <w:basedOn w:val="Normal"/>
    <w:next w:val="BodyText"/>
    <w:autoRedefine/>
    <w:qFormat/>
    <w:rsid w:val="005061BD"/>
    <w:pPr>
      <w:keepNext/>
      <w:spacing w:before="240" w:line="480" w:lineRule="auto"/>
      <w:outlineLvl w:val="1"/>
    </w:pPr>
    <w:rPr>
      <w:rFonts w:ascii="Arial Narrow" w:hAnsi="Arial Narrow" w:cs="Arial"/>
      <w:b/>
      <w:bCs/>
      <w:iCs/>
      <w:sz w:val="26"/>
      <w:szCs w:val="26"/>
    </w:rPr>
  </w:style>
  <w:style w:type="paragraph" w:styleId="Heading3">
    <w:name w:val="heading 3"/>
    <w:basedOn w:val="Normal"/>
    <w:next w:val="BodyText"/>
    <w:qFormat/>
    <w:rsid w:val="005061BD"/>
    <w:pPr>
      <w:keepNext/>
      <w:spacing w:before="240" w:line="480" w:lineRule="auto"/>
      <w:outlineLvl w:val="2"/>
    </w:pPr>
    <w:rPr>
      <w:rFonts w:ascii="Arial Narrow" w:hAnsi="Arial Narrow" w:cs="Arial"/>
      <w:bCs/>
      <w:sz w:val="26"/>
      <w:szCs w:val="26"/>
    </w:rPr>
  </w:style>
  <w:style w:type="paragraph" w:styleId="Heading4">
    <w:name w:val="heading 4"/>
    <w:basedOn w:val="Normal"/>
    <w:next w:val="BodyText"/>
    <w:qFormat/>
    <w:rsid w:val="005061BD"/>
    <w:pPr>
      <w:keepNext/>
      <w:spacing w:before="240" w:line="480" w:lineRule="auto"/>
      <w:outlineLvl w:val="3"/>
    </w:pPr>
    <w:rPr>
      <w:rFonts w:ascii="Arial Narrow" w:hAnsi="Arial Narrow"/>
      <w:bCs/>
      <w:sz w:val="22"/>
      <w:szCs w:val="22"/>
    </w:rPr>
  </w:style>
  <w:style w:type="paragraph" w:styleId="Heading5">
    <w:name w:val="heading 5"/>
    <w:basedOn w:val="Normal"/>
    <w:next w:val="BodyText"/>
    <w:qFormat/>
    <w:rsid w:val="005061BD"/>
    <w:pPr>
      <w:spacing w:before="240" w:line="480" w:lineRule="auto"/>
      <w:outlineLvl w:val="4"/>
    </w:pPr>
    <w:rPr>
      <w:rFonts w:ascii="Arial Narrow" w:hAnsi="Arial Narrow"/>
      <w:bCs/>
      <w:i/>
      <w:iCs/>
      <w:spacing w:val="30"/>
      <w:sz w:val="22"/>
      <w:szCs w:val="22"/>
    </w:rPr>
  </w:style>
  <w:style w:type="paragraph" w:styleId="Heading6">
    <w:name w:val="heading 6"/>
    <w:basedOn w:val="Normal"/>
    <w:next w:val="Normal"/>
    <w:qFormat/>
    <w:rsid w:val="005061BD"/>
    <w:pPr>
      <w:numPr>
        <w:ilvl w:val="5"/>
        <w:numId w:val="7"/>
      </w:numPr>
      <w:spacing w:before="240" w:after="60"/>
      <w:outlineLvl w:val="5"/>
    </w:pPr>
    <w:rPr>
      <w:b/>
      <w:bCs/>
      <w:sz w:val="22"/>
      <w:szCs w:val="22"/>
    </w:rPr>
  </w:style>
  <w:style w:type="paragraph" w:styleId="Heading7">
    <w:name w:val="heading 7"/>
    <w:basedOn w:val="Normal"/>
    <w:next w:val="Normal"/>
    <w:link w:val="Heading7Char"/>
    <w:semiHidden/>
    <w:qFormat/>
    <w:rsid w:val="005061BD"/>
    <w:pPr>
      <w:numPr>
        <w:ilvl w:val="6"/>
        <w:numId w:val="7"/>
      </w:numPr>
      <w:spacing w:before="240" w:after="60"/>
      <w:outlineLvl w:val="6"/>
    </w:pPr>
    <w:rPr>
      <w:sz w:val="24"/>
      <w:szCs w:val="24"/>
    </w:rPr>
  </w:style>
  <w:style w:type="paragraph" w:styleId="Heading8">
    <w:name w:val="heading 8"/>
    <w:basedOn w:val="Normal"/>
    <w:next w:val="Normal"/>
    <w:link w:val="Heading8Char"/>
    <w:semiHidden/>
    <w:qFormat/>
    <w:rsid w:val="005061BD"/>
    <w:pPr>
      <w:numPr>
        <w:ilvl w:val="7"/>
        <w:numId w:val="7"/>
      </w:numPr>
      <w:spacing w:before="240" w:after="60"/>
      <w:outlineLvl w:val="7"/>
    </w:pPr>
    <w:rPr>
      <w:i/>
      <w:iCs/>
      <w:sz w:val="24"/>
      <w:szCs w:val="24"/>
    </w:rPr>
  </w:style>
  <w:style w:type="paragraph" w:styleId="Heading9">
    <w:name w:val="heading 9"/>
    <w:basedOn w:val="Normal"/>
    <w:next w:val="Normal"/>
    <w:link w:val="Heading9Char"/>
    <w:semiHidden/>
    <w:qFormat/>
    <w:rsid w:val="005061BD"/>
    <w:pPr>
      <w:numPr>
        <w:ilvl w:val="8"/>
        <w:numId w:val="7"/>
      </w:numPr>
      <w:spacing w:before="240" w:after="60"/>
      <w:outlineLvl w:val="8"/>
    </w:pPr>
    <w:rPr>
      <w:rFonts w:ascii="Arial Narrow"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s"/>
    <w:qFormat/>
    <w:rsid w:val="005061BD"/>
    <w:pPr>
      <w:widowControl w:val="0"/>
      <w:spacing w:before="840" w:after="240" w:line="480" w:lineRule="auto"/>
    </w:pPr>
    <w:rPr>
      <w:rFonts w:ascii="Arial Narrow" w:hAnsi="Arial Narrow" w:cs="Arial"/>
      <w:b/>
      <w:bCs/>
      <w:kern w:val="28"/>
      <w:sz w:val="44"/>
      <w:szCs w:val="32"/>
    </w:rPr>
  </w:style>
  <w:style w:type="paragraph" w:styleId="Subtitle">
    <w:name w:val="Subtitle"/>
    <w:basedOn w:val="Normal"/>
    <w:next w:val="Normal"/>
    <w:rsid w:val="00F73B07"/>
    <w:rPr>
      <w:rFonts w:ascii="Trebuchet MS" w:eastAsia="Trebuchet MS" w:hAnsi="Trebuchet MS" w:cs="Trebuchet MS"/>
      <w:i/>
      <w:color w:val="666666"/>
      <w:sz w:val="26"/>
    </w:rPr>
  </w:style>
  <w:style w:type="paragraph" w:styleId="BalloonText">
    <w:name w:val="Balloon Text"/>
    <w:basedOn w:val="Normal"/>
    <w:link w:val="BalloonTextChar"/>
    <w:semiHidden/>
    <w:rsid w:val="005061BD"/>
    <w:rPr>
      <w:rFonts w:ascii="Tahoma" w:hAnsi="Tahoma" w:cs="Tahoma"/>
      <w:sz w:val="16"/>
      <w:szCs w:val="16"/>
    </w:rPr>
  </w:style>
  <w:style w:type="character" w:customStyle="1" w:styleId="BalloonTextChar">
    <w:name w:val="Balloon Text Char"/>
    <w:link w:val="BalloonText"/>
    <w:semiHidden/>
    <w:rsid w:val="005061B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E3512"/>
    <w:rPr>
      <w:sz w:val="18"/>
      <w:szCs w:val="18"/>
    </w:rPr>
  </w:style>
  <w:style w:type="paragraph" w:styleId="CommentText">
    <w:name w:val="annotation text"/>
    <w:basedOn w:val="Normal"/>
    <w:link w:val="CommentTextChar"/>
    <w:semiHidden/>
    <w:rsid w:val="005061BD"/>
  </w:style>
  <w:style w:type="character" w:customStyle="1" w:styleId="CommentTextChar">
    <w:name w:val="Comment Text Char"/>
    <w:basedOn w:val="DefaultParagraphFont"/>
    <w:link w:val="CommentText"/>
    <w:semiHidden/>
    <w:rsid w:val="004E351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061BD"/>
    <w:rPr>
      <w:b/>
      <w:bCs/>
    </w:rPr>
  </w:style>
  <w:style w:type="character" w:customStyle="1" w:styleId="CommentSubjectChar">
    <w:name w:val="Comment Subject Char"/>
    <w:basedOn w:val="CommentTextChar"/>
    <w:link w:val="CommentSubject"/>
    <w:semiHidden/>
    <w:rsid w:val="004E3512"/>
    <w:rPr>
      <w:rFonts w:ascii="Times New Roman" w:eastAsia="Times New Roman" w:hAnsi="Times New Roman" w:cs="Times New Roman"/>
      <w:b/>
      <w:bCs/>
      <w:sz w:val="20"/>
      <w:szCs w:val="20"/>
    </w:rPr>
  </w:style>
  <w:style w:type="character" w:customStyle="1" w:styleId="apple-style-span">
    <w:name w:val="apple-style-span"/>
    <w:basedOn w:val="DefaultParagraphFont"/>
    <w:rsid w:val="00CE10BD"/>
  </w:style>
  <w:style w:type="character" w:customStyle="1" w:styleId="Heading7Char">
    <w:name w:val="Heading 7 Char"/>
    <w:basedOn w:val="DefaultParagraphFont"/>
    <w:link w:val="Heading7"/>
    <w:semiHidden/>
    <w:rsid w:val="00E72EC0"/>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E72EC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E72EC0"/>
    <w:rPr>
      <w:rFonts w:ascii="Arial Narrow" w:eastAsia="Times New Roman" w:hAnsi="Arial Narrow" w:cs="Arial"/>
    </w:rPr>
  </w:style>
  <w:style w:type="paragraph" w:styleId="BodyText">
    <w:name w:val="Body Text"/>
    <w:basedOn w:val="Normal"/>
    <w:link w:val="BodyTextChar"/>
    <w:qFormat/>
    <w:rsid w:val="005061BD"/>
    <w:pPr>
      <w:spacing w:line="480" w:lineRule="auto"/>
      <w:ind w:firstLine="720"/>
    </w:pPr>
    <w:rPr>
      <w:sz w:val="24"/>
    </w:rPr>
  </w:style>
  <w:style w:type="character" w:customStyle="1" w:styleId="BodyTextChar">
    <w:name w:val="Body Text Char"/>
    <w:link w:val="BodyText"/>
    <w:rsid w:val="005061BD"/>
    <w:rPr>
      <w:rFonts w:ascii="Times New Roman" w:eastAsia="Times New Roman" w:hAnsi="Times New Roman" w:cs="Times New Roman"/>
      <w:sz w:val="24"/>
      <w:szCs w:val="20"/>
    </w:rPr>
  </w:style>
  <w:style w:type="character" w:customStyle="1" w:styleId="Heading1Char">
    <w:name w:val="Heading 1 Char"/>
    <w:link w:val="Heading1"/>
    <w:rsid w:val="005061BD"/>
    <w:rPr>
      <w:rFonts w:ascii="Arial Narrow" w:eastAsia="Times New Roman" w:hAnsi="Arial Narrow" w:cs="Arial"/>
      <w:b/>
      <w:bCs/>
      <w:kern w:val="32"/>
      <w:sz w:val="32"/>
      <w:szCs w:val="32"/>
    </w:rPr>
  </w:style>
  <w:style w:type="paragraph" w:customStyle="1" w:styleId="Authors">
    <w:name w:val="Authors"/>
    <w:next w:val="Heading1"/>
    <w:autoRedefine/>
    <w:qFormat/>
    <w:rsid w:val="005061BD"/>
    <w:pPr>
      <w:spacing w:before="480" w:after="480" w:line="480" w:lineRule="auto"/>
    </w:pPr>
    <w:rPr>
      <w:rFonts w:ascii="Arial Narrow" w:eastAsia="Times New Roman" w:hAnsi="Arial Narrow" w:cs="Times New Roman"/>
      <w:sz w:val="24"/>
      <w:szCs w:val="24"/>
    </w:rPr>
  </w:style>
  <w:style w:type="paragraph" w:customStyle="1" w:styleId="BodyNoIndent">
    <w:name w:val="BodyNoIndent"/>
    <w:basedOn w:val="BodyText"/>
    <w:qFormat/>
    <w:rsid w:val="005061BD"/>
    <w:pPr>
      <w:ind w:firstLine="0"/>
    </w:pPr>
  </w:style>
  <w:style w:type="paragraph" w:customStyle="1" w:styleId="SecondaryIdentification">
    <w:name w:val="SecondaryIdentification"/>
    <w:basedOn w:val="Normal"/>
    <w:qFormat/>
    <w:rsid w:val="005061BD"/>
    <w:pPr>
      <w:widowControl w:val="0"/>
      <w:spacing w:before="500"/>
      <w:contextualSpacing/>
    </w:pPr>
    <w:rPr>
      <w:rFonts w:ascii="Arial Narrow" w:hAnsi="Arial Narrow"/>
      <w:b/>
      <w:sz w:val="28"/>
    </w:rPr>
  </w:style>
  <w:style w:type="paragraph" w:customStyle="1" w:styleId="Notes">
    <w:name w:val="Notes"/>
    <w:basedOn w:val="Authors"/>
    <w:semiHidden/>
    <w:rsid w:val="005061BD"/>
  </w:style>
  <w:style w:type="paragraph" w:customStyle="1" w:styleId="useNote">
    <w:name w:val="useNote"/>
    <w:basedOn w:val="ListBullet"/>
    <w:semiHidden/>
    <w:rsid w:val="005061BD"/>
    <w:pPr>
      <w:spacing w:line="240" w:lineRule="auto"/>
    </w:pPr>
  </w:style>
  <w:style w:type="paragraph" w:customStyle="1" w:styleId="FigureCaption">
    <w:name w:val="FigureCaption"/>
    <w:basedOn w:val="Normal"/>
    <w:next w:val="BodyText"/>
    <w:autoRedefine/>
    <w:qFormat/>
    <w:rsid w:val="005061BD"/>
    <w:pPr>
      <w:numPr>
        <w:numId w:val="8"/>
      </w:numPr>
      <w:spacing w:before="240" w:after="240" w:line="480" w:lineRule="auto"/>
    </w:pPr>
    <w:rPr>
      <w:rFonts w:ascii="Arial Narrow" w:hAnsi="Arial Narrow"/>
      <w:sz w:val="24"/>
      <w:szCs w:val="18"/>
    </w:rPr>
  </w:style>
  <w:style w:type="paragraph" w:customStyle="1" w:styleId="Quotation">
    <w:name w:val="Quotation"/>
    <w:basedOn w:val="Normal"/>
    <w:qFormat/>
    <w:rsid w:val="005061BD"/>
    <w:pPr>
      <w:spacing w:before="80" w:after="80" w:line="480" w:lineRule="auto"/>
      <w:ind w:left="403"/>
    </w:pPr>
    <w:rPr>
      <w:sz w:val="24"/>
    </w:rPr>
  </w:style>
  <w:style w:type="paragraph" w:customStyle="1" w:styleId="Reference">
    <w:name w:val="Reference"/>
    <w:basedOn w:val="Normal"/>
    <w:qFormat/>
    <w:rsid w:val="005061BD"/>
    <w:pPr>
      <w:spacing w:line="480" w:lineRule="auto"/>
      <w:ind w:left="202" w:hanging="202"/>
    </w:pPr>
    <w:rPr>
      <w:sz w:val="24"/>
    </w:rPr>
  </w:style>
  <w:style w:type="character" w:customStyle="1" w:styleId="TableSpannerChar">
    <w:name w:val="TableSpanner Char"/>
    <w:link w:val="TableSpanner"/>
    <w:rsid w:val="005061BD"/>
    <w:rPr>
      <w:rFonts w:ascii="Arial Narrow" w:hAnsi="Arial Narrow"/>
      <w:szCs w:val="18"/>
    </w:rPr>
  </w:style>
  <w:style w:type="paragraph" w:customStyle="1" w:styleId="TableSpanner">
    <w:name w:val="TableSpanner"/>
    <w:basedOn w:val="Normal"/>
    <w:link w:val="TableSpannerChar"/>
    <w:qFormat/>
    <w:rsid w:val="005061BD"/>
    <w:pPr>
      <w:spacing w:line="220" w:lineRule="exact"/>
      <w:jc w:val="center"/>
    </w:pPr>
    <w:rPr>
      <w:rFonts w:ascii="Arial Narrow" w:eastAsiaTheme="minorEastAsia" w:hAnsi="Arial Narrow" w:cstheme="minorBidi"/>
      <w:sz w:val="22"/>
      <w:szCs w:val="18"/>
    </w:rPr>
  </w:style>
  <w:style w:type="paragraph" w:customStyle="1" w:styleId="SectionHeading">
    <w:name w:val="SectionHeading"/>
    <w:basedOn w:val="Normal"/>
    <w:qFormat/>
    <w:rsid w:val="005061BD"/>
    <w:pPr>
      <w:spacing w:before="480" w:after="480" w:line="480" w:lineRule="exact"/>
    </w:pPr>
    <w:rPr>
      <w:rFonts w:ascii="Arial Narrow" w:hAnsi="Arial Narrow"/>
      <w:b/>
      <w:sz w:val="40"/>
      <w:szCs w:val="40"/>
    </w:rPr>
  </w:style>
  <w:style w:type="paragraph" w:customStyle="1" w:styleId="TOCLists">
    <w:name w:val="TOCLists"/>
    <w:basedOn w:val="TOC1"/>
    <w:qFormat/>
    <w:rsid w:val="005061BD"/>
    <w:pPr>
      <w:ind w:left="720" w:hanging="720"/>
    </w:pPr>
  </w:style>
  <w:style w:type="paragraph" w:styleId="TOC1">
    <w:name w:val="toc 1"/>
    <w:basedOn w:val="Normal"/>
    <w:next w:val="Normal"/>
    <w:autoRedefine/>
    <w:rsid w:val="005061BD"/>
    <w:pPr>
      <w:tabs>
        <w:tab w:val="right" w:leader="dot" w:pos="10260"/>
      </w:tabs>
      <w:spacing w:line="480" w:lineRule="auto"/>
    </w:pPr>
    <w:rPr>
      <w:rFonts w:ascii="Arial Narrow" w:hAnsi="Arial Narrow"/>
      <w:sz w:val="24"/>
    </w:rPr>
  </w:style>
  <w:style w:type="paragraph" w:customStyle="1" w:styleId="TableCellHeading">
    <w:name w:val="TableCellHeading"/>
    <w:basedOn w:val="Normal"/>
    <w:qFormat/>
    <w:rsid w:val="005061BD"/>
    <w:pPr>
      <w:spacing w:line="220" w:lineRule="exact"/>
      <w:jc w:val="center"/>
    </w:pPr>
    <w:rPr>
      <w:rFonts w:ascii="Arial Narrow" w:hAnsi="Arial Narrow"/>
      <w:b/>
      <w:szCs w:val="18"/>
    </w:rPr>
  </w:style>
  <w:style w:type="paragraph" w:customStyle="1" w:styleId="TableFootnote">
    <w:name w:val="TableFootnote"/>
    <w:basedOn w:val="Normal"/>
    <w:qFormat/>
    <w:rsid w:val="005061BD"/>
    <w:pPr>
      <w:spacing w:before="80" w:line="480" w:lineRule="auto"/>
    </w:pPr>
    <w:rPr>
      <w:szCs w:val="16"/>
    </w:rPr>
  </w:style>
  <w:style w:type="paragraph" w:customStyle="1" w:styleId="TableHeadnote">
    <w:name w:val="TableHeadnote"/>
    <w:basedOn w:val="Normal"/>
    <w:next w:val="TableCellHeading"/>
    <w:qFormat/>
    <w:rsid w:val="005061BD"/>
    <w:pPr>
      <w:spacing w:line="480" w:lineRule="auto"/>
    </w:pPr>
    <w:rPr>
      <w:szCs w:val="16"/>
    </w:rPr>
  </w:style>
  <w:style w:type="paragraph" w:customStyle="1" w:styleId="TableTitle">
    <w:name w:val="TableTitle"/>
    <w:basedOn w:val="Normal"/>
    <w:next w:val="TableHeadnote"/>
    <w:qFormat/>
    <w:rsid w:val="005061BD"/>
    <w:pPr>
      <w:spacing w:before="240" w:line="480" w:lineRule="auto"/>
    </w:pPr>
    <w:rPr>
      <w:rFonts w:ascii="Arial Narrow" w:hAnsi="Arial Narrow"/>
      <w:sz w:val="24"/>
      <w:szCs w:val="18"/>
    </w:rPr>
  </w:style>
  <w:style w:type="paragraph" w:customStyle="1" w:styleId="Logo">
    <w:name w:val="Logo"/>
    <w:semiHidden/>
    <w:rsid w:val="005061BD"/>
    <w:pPr>
      <w:spacing w:after="0" w:line="240" w:lineRule="auto"/>
    </w:pPr>
    <w:rPr>
      <w:rFonts w:ascii="Times" w:eastAsia="Times New Roman" w:hAnsi="Times" w:cs="Times New Roman"/>
      <w:sz w:val="24"/>
      <w:szCs w:val="20"/>
    </w:rPr>
  </w:style>
  <w:style w:type="paragraph" w:styleId="TableofFigures">
    <w:name w:val="table of figures"/>
    <w:semiHidden/>
    <w:rsid w:val="005061BD"/>
    <w:pPr>
      <w:spacing w:after="0" w:line="480" w:lineRule="auto"/>
    </w:pPr>
    <w:rPr>
      <w:rFonts w:ascii="Arial Narrow" w:eastAsia="Times New Roman" w:hAnsi="Arial Narrow" w:cs="Times New Roman"/>
      <w:sz w:val="24"/>
      <w:szCs w:val="20"/>
    </w:rPr>
  </w:style>
  <w:style w:type="paragraph" w:customStyle="1" w:styleId="BOTPOffice">
    <w:name w:val="BOTPOffice"/>
    <w:basedOn w:val="Normal"/>
    <w:semiHidden/>
    <w:rsid w:val="005061BD"/>
    <w:pPr>
      <w:spacing w:line="320" w:lineRule="exact"/>
      <w:ind w:left="2520"/>
    </w:pPr>
    <w:rPr>
      <w:rFonts w:ascii="Arial Narrow" w:hAnsi="Arial Narrow"/>
      <w:b/>
      <w:sz w:val="28"/>
      <w:szCs w:val="28"/>
    </w:rPr>
  </w:style>
  <w:style w:type="paragraph" w:customStyle="1" w:styleId="BOTPOfficial">
    <w:name w:val="BOTPOfficial"/>
    <w:basedOn w:val="Normal"/>
    <w:semiHidden/>
    <w:rsid w:val="005061BD"/>
    <w:pPr>
      <w:spacing w:after="240" w:line="320" w:lineRule="atLeast"/>
      <w:ind w:left="2520"/>
    </w:pPr>
    <w:rPr>
      <w:rFonts w:ascii="Arial Narrow" w:hAnsi="Arial Narrow"/>
      <w:sz w:val="28"/>
      <w:szCs w:val="28"/>
    </w:rPr>
  </w:style>
  <w:style w:type="paragraph" w:customStyle="1" w:styleId="Publisher">
    <w:name w:val="Publisher"/>
    <w:basedOn w:val="Normal"/>
    <w:semiHidden/>
    <w:rsid w:val="005061BD"/>
    <w:pPr>
      <w:spacing w:before="480" w:line="260" w:lineRule="exact"/>
      <w:ind w:left="2520"/>
    </w:pPr>
    <w:rPr>
      <w:rFonts w:ascii="Arial Narrow" w:hAnsi="Arial Narrow"/>
      <w:sz w:val="24"/>
      <w:szCs w:val="24"/>
    </w:rPr>
  </w:style>
  <w:style w:type="paragraph" w:customStyle="1" w:styleId="BOTPNotes">
    <w:name w:val="BOTPNotes"/>
    <w:basedOn w:val="Normal"/>
    <w:link w:val="BOTPNotesChar"/>
    <w:semiHidden/>
    <w:rsid w:val="005061BD"/>
    <w:pPr>
      <w:spacing w:before="2280" w:line="220" w:lineRule="exact"/>
      <w:ind w:left="2520"/>
    </w:pPr>
    <w:rPr>
      <w:rFonts w:ascii="Arial Narrow" w:hAnsi="Arial Narrow"/>
      <w:sz w:val="18"/>
      <w:szCs w:val="18"/>
    </w:rPr>
  </w:style>
  <w:style w:type="character" w:customStyle="1" w:styleId="BOTPNotesChar">
    <w:name w:val="BOTPNotes Char"/>
    <w:link w:val="BOTPNotes"/>
    <w:semiHidden/>
    <w:rsid w:val="005061BD"/>
    <w:rPr>
      <w:rFonts w:ascii="Arial Narrow" w:eastAsia="Times New Roman" w:hAnsi="Arial Narrow" w:cs="Times New Roman"/>
      <w:sz w:val="18"/>
      <w:szCs w:val="18"/>
    </w:rPr>
  </w:style>
  <w:style w:type="paragraph" w:customStyle="1" w:styleId="BOTPNotes2">
    <w:name w:val="BOTPNotes2"/>
    <w:basedOn w:val="BOTPNotes"/>
    <w:semiHidden/>
    <w:rsid w:val="005061BD"/>
    <w:pPr>
      <w:spacing w:before="480"/>
    </w:pPr>
  </w:style>
  <w:style w:type="paragraph" w:styleId="Footer">
    <w:name w:val="footer"/>
    <w:basedOn w:val="Normal"/>
    <w:link w:val="FooterChar"/>
    <w:rsid w:val="005061BD"/>
    <w:pPr>
      <w:tabs>
        <w:tab w:val="center" w:pos="4320"/>
        <w:tab w:val="right" w:pos="8640"/>
      </w:tabs>
    </w:pPr>
  </w:style>
  <w:style w:type="character" w:customStyle="1" w:styleId="FooterChar">
    <w:name w:val="Footer Char"/>
    <w:basedOn w:val="DefaultParagraphFont"/>
    <w:link w:val="Footer"/>
    <w:rsid w:val="00E72EC0"/>
    <w:rPr>
      <w:rFonts w:ascii="Times New Roman" w:eastAsia="Times New Roman" w:hAnsi="Times New Roman" w:cs="Times New Roman"/>
      <w:sz w:val="20"/>
      <w:szCs w:val="20"/>
    </w:rPr>
  </w:style>
  <w:style w:type="character" w:styleId="Hyperlink">
    <w:name w:val="Hyperlink"/>
    <w:qFormat/>
    <w:rsid w:val="005061BD"/>
    <w:rPr>
      <w:i/>
      <w:color w:val="auto"/>
      <w:u w:val="none"/>
    </w:rPr>
  </w:style>
  <w:style w:type="paragraph" w:styleId="ListNumber">
    <w:name w:val="List Number"/>
    <w:basedOn w:val="Normal"/>
    <w:qFormat/>
    <w:rsid w:val="005061BD"/>
    <w:pPr>
      <w:numPr>
        <w:numId w:val="28"/>
      </w:numPr>
      <w:spacing w:before="80" w:after="80" w:line="480" w:lineRule="auto"/>
    </w:pPr>
    <w:rPr>
      <w:sz w:val="24"/>
    </w:rPr>
  </w:style>
  <w:style w:type="paragraph" w:styleId="ListNumber2">
    <w:name w:val="List Number 2"/>
    <w:basedOn w:val="Normal"/>
    <w:qFormat/>
    <w:rsid w:val="005061BD"/>
    <w:pPr>
      <w:numPr>
        <w:numId w:val="29"/>
      </w:numPr>
      <w:spacing w:before="80" w:after="80" w:line="480" w:lineRule="auto"/>
    </w:pPr>
    <w:rPr>
      <w:sz w:val="24"/>
    </w:rPr>
  </w:style>
  <w:style w:type="paragraph" w:styleId="ListNumber3">
    <w:name w:val="List Number 3"/>
    <w:basedOn w:val="Normal"/>
    <w:qFormat/>
    <w:rsid w:val="005061BD"/>
    <w:pPr>
      <w:numPr>
        <w:numId w:val="30"/>
      </w:numPr>
      <w:spacing w:before="80" w:after="80" w:line="480" w:lineRule="auto"/>
    </w:pPr>
    <w:rPr>
      <w:sz w:val="24"/>
    </w:rPr>
  </w:style>
  <w:style w:type="character" w:styleId="PageNumber">
    <w:name w:val="page number"/>
    <w:basedOn w:val="DefaultParagraphFont"/>
    <w:semiHidden/>
    <w:rsid w:val="005061BD"/>
  </w:style>
  <w:style w:type="paragraph" w:styleId="Signature">
    <w:name w:val="Signature"/>
    <w:basedOn w:val="Normal"/>
    <w:link w:val="SignatureChar"/>
    <w:semiHidden/>
    <w:rsid w:val="005061BD"/>
    <w:pPr>
      <w:ind w:left="4320"/>
    </w:pPr>
  </w:style>
  <w:style w:type="character" w:customStyle="1" w:styleId="SignatureChar">
    <w:name w:val="Signature Char"/>
    <w:basedOn w:val="DefaultParagraphFont"/>
    <w:link w:val="Signature"/>
    <w:semiHidden/>
    <w:rsid w:val="00E72EC0"/>
    <w:rPr>
      <w:rFonts w:ascii="Times New Roman" w:eastAsia="Times New Roman" w:hAnsi="Times New Roman" w:cs="Times New Roman"/>
      <w:sz w:val="20"/>
      <w:szCs w:val="20"/>
    </w:rPr>
  </w:style>
  <w:style w:type="table" w:styleId="Table3Deffects1">
    <w:name w:val="Table 3D effects 1"/>
    <w:basedOn w:val="TableNormal"/>
    <w:semiHidden/>
    <w:rsid w:val="005061B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61B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61B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61B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61B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61B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61B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61B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61B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61B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061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061B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061B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61B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61B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61B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61B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61B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61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061B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61B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61B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qFormat/>
    <w:rsid w:val="005061BD"/>
    <w:pPr>
      <w:numPr>
        <w:numId w:val="3"/>
      </w:numPr>
      <w:spacing w:line="480" w:lineRule="auto"/>
    </w:pPr>
    <w:rPr>
      <w:sz w:val="24"/>
    </w:rPr>
  </w:style>
  <w:style w:type="paragraph" w:styleId="ListBullet2">
    <w:name w:val="List Bullet 2"/>
    <w:basedOn w:val="Normal"/>
    <w:qFormat/>
    <w:rsid w:val="005061BD"/>
    <w:pPr>
      <w:numPr>
        <w:numId w:val="1"/>
      </w:numPr>
      <w:spacing w:line="480" w:lineRule="auto"/>
    </w:pPr>
    <w:rPr>
      <w:sz w:val="24"/>
    </w:rPr>
  </w:style>
  <w:style w:type="paragraph" w:styleId="ListBullet3">
    <w:name w:val="List Bullet 3"/>
    <w:basedOn w:val="Normal"/>
    <w:qFormat/>
    <w:rsid w:val="005061BD"/>
    <w:pPr>
      <w:numPr>
        <w:numId w:val="2"/>
      </w:numPr>
      <w:spacing w:line="480" w:lineRule="auto"/>
    </w:pPr>
    <w:rPr>
      <w:sz w:val="24"/>
    </w:rPr>
  </w:style>
  <w:style w:type="character" w:styleId="FootnoteReference">
    <w:name w:val="footnote reference"/>
    <w:semiHidden/>
    <w:rsid w:val="005061BD"/>
    <w:rPr>
      <w:vertAlign w:val="superscript"/>
    </w:rPr>
  </w:style>
  <w:style w:type="character" w:customStyle="1" w:styleId="MultipartFigCap">
    <w:name w:val="MultipartFigCap"/>
    <w:qFormat/>
    <w:rsid w:val="005061BD"/>
    <w:rPr>
      <w:rFonts w:ascii="Arial Narrow" w:hAnsi="Arial Narrow"/>
      <w:i/>
    </w:rPr>
  </w:style>
  <w:style w:type="character" w:customStyle="1" w:styleId="Run-inHead">
    <w:name w:val="Run-inHead"/>
    <w:qFormat/>
    <w:rsid w:val="005061BD"/>
    <w:rPr>
      <w:rFonts w:ascii="Times New Roman" w:hAnsi="Times New Roman"/>
      <w:i/>
      <w:sz w:val="24"/>
      <w:szCs w:val="20"/>
    </w:rPr>
  </w:style>
  <w:style w:type="character" w:customStyle="1" w:styleId="Subscript">
    <w:name w:val="Subscript"/>
    <w:qFormat/>
    <w:rsid w:val="005061BD"/>
    <w:rPr>
      <w:vertAlign w:val="subscript"/>
    </w:rPr>
  </w:style>
  <w:style w:type="character" w:customStyle="1" w:styleId="Superscript">
    <w:name w:val="Superscript"/>
    <w:qFormat/>
    <w:rsid w:val="005061BD"/>
    <w:rPr>
      <w:vertAlign w:val="superscript"/>
    </w:rPr>
  </w:style>
  <w:style w:type="paragraph" w:customStyle="1" w:styleId="Series">
    <w:name w:val="Series"/>
    <w:semiHidden/>
    <w:rsid w:val="005061BD"/>
    <w:pPr>
      <w:spacing w:before="1440" w:after="1440" w:line="240" w:lineRule="auto"/>
    </w:pPr>
    <w:rPr>
      <w:rFonts w:ascii="Arial Narrow" w:eastAsia="Times New Roman" w:hAnsi="Arial Narrow" w:cs="Arial"/>
      <w:bCs/>
      <w:kern w:val="32"/>
      <w:sz w:val="28"/>
      <w:szCs w:val="32"/>
    </w:rPr>
  </w:style>
  <w:style w:type="paragraph" w:customStyle="1" w:styleId="DBID">
    <w:name w:val="DBID"/>
    <w:semiHidden/>
    <w:rsid w:val="005061BD"/>
    <w:pPr>
      <w:spacing w:after="0" w:line="240" w:lineRule="auto"/>
    </w:pPr>
    <w:rPr>
      <w:rFonts w:ascii="Arial Narrow" w:eastAsia="Times New Roman" w:hAnsi="Arial Narrow" w:cs="Arial"/>
      <w:b/>
      <w:bCs/>
      <w:kern w:val="32"/>
      <w:sz w:val="24"/>
      <w:szCs w:val="32"/>
    </w:rPr>
  </w:style>
  <w:style w:type="paragraph" w:customStyle="1" w:styleId="GlossaryDefinition">
    <w:name w:val="GlossaryDefinition"/>
    <w:basedOn w:val="BodyText"/>
    <w:qFormat/>
    <w:rsid w:val="005061BD"/>
    <w:pPr>
      <w:ind w:firstLine="0"/>
    </w:pPr>
  </w:style>
  <w:style w:type="character" w:customStyle="1" w:styleId="GlossaryTerm">
    <w:name w:val="GlossaryTerm"/>
    <w:qFormat/>
    <w:rsid w:val="005061BD"/>
    <w:rPr>
      <w:rFonts w:ascii="Arial Narrow" w:hAnsi="Arial Narrow"/>
      <w:b/>
    </w:rPr>
  </w:style>
  <w:style w:type="character" w:styleId="Emphasis">
    <w:name w:val="Emphasis"/>
    <w:qFormat/>
    <w:rsid w:val="005061BD"/>
    <w:rPr>
      <w:rFonts w:ascii="Times New Roman" w:hAnsi="Times New Roman"/>
      <w:i/>
      <w:iCs/>
    </w:rPr>
  </w:style>
  <w:style w:type="character" w:styleId="Strong">
    <w:name w:val="Strong"/>
    <w:qFormat/>
    <w:rsid w:val="005061BD"/>
    <w:rPr>
      <w:rFonts w:ascii="Times New Roman" w:hAnsi="Times New Roman"/>
      <w:b/>
      <w:bCs/>
    </w:rPr>
  </w:style>
  <w:style w:type="character" w:customStyle="1" w:styleId="EmphStrong">
    <w:name w:val="EmphStrong"/>
    <w:qFormat/>
    <w:rsid w:val="005061BD"/>
    <w:rPr>
      <w:rFonts w:ascii="Times New Roman" w:hAnsi="Times New Roman"/>
      <w:b/>
      <w:i/>
    </w:rPr>
  </w:style>
  <w:style w:type="paragraph" w:customStyle="1" w:styleId="TOCHeading1">
    <w:name w:val="TOCHeading1"/>
    <w:basedOn w:val="Heading1"/>
    <w:qFormat/>
    <w:rsid w:val="005061BD"/>
  </w:style>
  <w:style w:type="paragraph" w:customStyle="1" w:styleId="ConvFactorBody">
    <w:name w:val="ConvFactorBody"/>
    <w:basedOn w:val="Normal"/>
    <w:semiHidden/>
    <w:rsid w:val="005061BD"/>
    <w:pPr>
      <w:tabs>
        <w:tab w:val="left" w:pos="540"/>
      </w:tabs>
      <w:autoSpaceDE w:val="0"/>
      <w:autoSpaceDN w:val="0"/>
      <w:adjustRightInd w:val="0"/>
      <w:spacing w:line="480" w:lineRule="auto"/>
      <w:textAlignment w:val="baseline"/>
    </w:pPr>
    <w:rPr>
      <w:rFonts w:ascii="Univers 57 Condensed" w:hAnsi="Univers 57 Condensed" w:cs="Univers 57 Condensed"/>
      <w:color w:val="000000"/>
    </w:rPr>
  </w:style>
  <w:style w:type="paragraph" w:customStyle="1" w:styleId="Noparagraphstyle">
    <w:name w:val="[No paragraph style]"/>
    <w:semiHidden/>
    <w:rsid w:val="005061BD"/>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TableCellBody">
    <w:name w:val="TableCellBody"/>
    <w:basedOn w:val="BodyText"/>
    <w:qFormat/>
    <w:rsid w:val="005061BD"/>
    <w:pPr>
      <w:spacing w:line="240" w:lineRule="auto"/>
      <w:ind w:firstLine="0"/>
    </w:pPr>
    <w:rPr>
      <w:sz w:val="20"/>
      <w:szCs w:val="24"/>
    </w:rPr>
  </w:style>
  <w:style w:type="paragraph" w:customStyle="1" w:styleId="TableCellDecAlign">
    <w:name w:val="TableCellDecAlign"/>
    <w:basedOn w:val="BodyText"/>
    <w:qFormat/>
    <w:rsid w:val="005061BD"/>
    <w:pPr>
      <w:tabs>
        <w:tab w:val="decimal" w:pos="720"/>
      </w:tabs>
      <w:spacing w:line="240" w:lineRule="auto"/>
      <w:ind w:firstLine="0"/>
    </w:pPr>
    <w:rPr>
      <w:sz w:val="20"/>
      <w:szCs w:val="24"/>
    </w:rPr>
  </w:style>
  <w:style w:type="paragraph" w:styleId="TOC2">
    <w:name w:val="toc 2"/>
    <w:basedOn w:val="Normal"/>
    <w:next w:val="Normal"/>
    <w:autoRedefine/>
    <w:rsid w:val="005061BD"/>
    <w:pPr>
      <w:tabs>
        <w:tab w:val="right" w:leader="dot" w:pos="10260"/>
      </w:tabs>
      <w:spacing w:line="480" w:lineRule="auto"/>
      <w:ind w:left="202"/>
    </w:pPr>
    <w:rPr>
      <w:rFonts w:ascii="Arial Narrow" w:hAnsi="Arial Narrow"/>
      <w:sz w:val="24"/>
    </w:rPr>
  </w:style>
  <w:style w:type="paragraph" w:styleId="TOC3">
    <w:name w:val="toc 3"/>
    <w:basedOn w:val="Normal"/>
    <w:next w:val="Normal"/>
    <w:autoRedefine/>
    <w:rsid w:val="005061BD"/>
    <w:pPr>
      <w:tabs>
        <w:tab w:val="right" w:leader="dot" w:pos="10260"/>
      </w:tabs>
      <w:spacing w:line="480" w:lineRule="auto"/>
      <w:ind w:left="403"/>
    </w:pPr>
    <w:rPr>
      <w:rFonts w:ascii="Arial Narrow" w:hAnsi="Arial Narrow"/>
      <w:sz w:val="24"/>
    </w:rPr>
  </w:style>
  <w:style w:type="paragraph" w:styleId="TOC4">
    <w:name w:val="toc 4"/>
    <w:basedOn w:val="Normal"/>
    <w:next w:val="Normal"/>
    <w:autoRedefine/>
    <w:rsid w:val="005061BD"/>
    <w:pPr>
      <w:tabs>
        <w:tab w:val="right" w:leader="dot" w:pos="10260"/>
      </w:tabs>
      <w:spacing w:line="480" w:lineRule="auto"/>
      <w:ind w:left="605"/>
    </w:pPr>
    <w:rPr>
      <w:rFonts w:ascii="Arial Narrow" w:hAnsi="Arial Narrow"/>
      <w:sz w:val="24"/>
    </w:rPr>
  </w:style>
  <w:style w:type="paragraph" w:styleId="TOC5">
    <w:name w:val="toc 5"/>
    <w:basedOn w:val="Normal"/>
    <w:next w:val="Normal"/>
    <w:autoRedefine/>
    <w:rsid w:val="005061BD"/>
    <w:pPr>
      <w:tabs>
        <w:tab w:val="right" w:leader="dot" w:pos="10260"/>
      </w:tabs>
      <w:spacing w:line="480" w:lineRule="auto"/>
      <w:ind w:left="806"/>
    </w:pPr>
    <w:rPr>
      <w:rFonts w:ascii="Arial Narrow" w:hAnsi="Arial Narrow"/>
      <w:sz w:val="24"/>
    </w:rPr>
  </w:style>
  <w:style w:type="character" w:customStyle="1" w:styleId="SuperEmphasis">
    <w:name w:val="SuperEmphasis"/>
    <w:qFormat/>
    <w:rsid w:val="005061BD"/>
    <w:rPr>
      <w:rFonts w:ascii="Times New Roman" w:hAnsi="Times New Roman"/>
      <w:i/>
      <w:vertAlign w:val="superscript"/>
    </w:rPr>
  </w:style>
  <w:style w:type="character" w:customStyle="1" w:styleId="SubEmphasis">
    <w:name w:val="SubEmphasis"/>
    <w:qFormat/>
    <w:rsid w:val="005061BD"/>
    <w:rPr>
      <w:rFonts w:ascii="Times New Roman" w:hAnsi="Times New Roman"/>
      <w:i/>
      <w:vertAlign w:val="subscript"/>
    </w:rPr>
  </w:style>
  <w:style w:type="paragraph" w:customStyle="1" w:styleId="TOCHeading2">
    <w:name w:val="TOCHeading2"/>
    <w:basedOn w:val="TOCHeading1"/>
    <w:qFormat/>
    <w:rsid w:val="005061BD"/>
    <w:rPr>
      <w:sz w:val="24"/>
    </w:rPr>
  </w:style>
  <w:style w:type="paragraph" w:customStyle="1" w:styleId="EquationNumbered">
    <w:name w:val="Equation (Numbered)"/>
    <w:basedOn w:val="BodyText"/>
    <w:next w:val="BodyText"/>
    <w:qFormat/>
    <w:rsid w:val="005061BD"/>
    <w:pPr>
      <w:tabs>
        <w:tab w:val="center" w:pos="4680"/>
        <w:tab w:val="right" w:pos="10080"/>
      </w:tabs>
      <w:spacing w:before="120" w:after="120"/>
      <w:ind w:firstLine="0"/>
    </w:pPr>
  </w:style>
  <w:style w:type="paragraph" w:customStyle="1" w:styleId="EquationWhere">
    <w:name w:val="EquationWhere"/>
    <w:qFormat/>
    <w:rsid w:val="005061BD"/>
    <w:pPr>
      <w:tabs>
        <w:tab w:val="right" w:pos="1080"/>
        <w:tab w:val="left" w:pos="1800"/>
      </w:tabs>
      <w:spacing w:after="0" w:line="480" w:lineRule="auto"/>
      <w:ind w:left="1800" w:hanging="1800"/>
    </w:pPr>
    <w:rPr>
      <w:rFonts w:ascii="Times New Roman" w:eastAsia="Times New Roman" w:hAnsi="Times New Roman" w:cs="Times New Roman"/>
      <w:sz w:val="24"/>
      <w:szCs w:val="20"/>
    </w:rPr>
  </w:style>
  <w:style w:type="paragraph" w:customStyle="1" w:styleId="EquationWhere2">
    <w:name w:val="EquationWhere2"/>
    <w:basedOn w:val="EquationWhere"/>
    <w:qFormat/>
    <w:rsid w:val="005061BD"/>
    <w:pPr>
      <w:ind w:hanging="720"/>
    </w:pPr>
  </w:style>
  <w:style w:type="character" w:customStyle="1" w:styleId="EmphasisUC">
    <w:name w:val="EmphasisUC"/>
    <w:uiPriority w:val="1"/>
    <w:qFormat/>
    <w:rsid w:val="005061BD"/>
    <w:rPr>
      <w:rFonts w:ascii="Arial Narrow" w:hAnsi="Arial Narrow"/>
      <w:i/>
    </w:rPr>
  </w:style>
  <w:style w:type="character" w:customStyle="1" w:styleId="EmphasisStrongUC">
    <w:name w:val="EmphasisStrongUC"/>
    <w:uiPriority w:val="1"/>
    <w:qFormat/>
    <w:rsid w:val="005061BD"/>
    <w:rPr>
      <w:rFonts w:ascii="Arial Narrow" w:hAnsi="Arial Narrow"/>
      <w:i/>
    </w:rPr>
  </w:style>
  <w:style w:type="character" w:customStyle="1" w:styleId="SubEmphasisUC">
    <w:name w:val="SubEmphasisUC"/>
    <w:uiPriority w:val="1"/>
    <w:qFormat/>
    <w:rsid w:val="005061BD"/>
    <w:rPr>
      <w:rFonts w:ascii="Arial Narrow" w:hAnsi="Arial Narrow"/>
      <w:i/>
      <w:vertAlign w:val="subscript"/>
    </w:rPr>
  </w:style>
  <w:style w:type="character" w:customStyle="1" w:styleId="SuperEmphasisUC">
    <w:name w:val="SuperEmphasisUC"/>
    <w:uiPriority w:val="1"/>
    <w:qFormat/>
    <w:rsid w:val="005061BD"/>
    <w:rPr>
      <w:rFonts w:ascii="Arial Narrow" w:hAnsi="Arial Narrow"/>
      <w:i w:val="0"/>
      <w:vertAlign w:val="superscript"/>
    </w:rPr>
  </w:style>
  <w:style w:type="paragraph" w:styleId="Header">
    <w:name w:val="header"/>
    <w:basedOn w:val="Normal"/>
    <w:link w:val="HeaderChar"/>
    <w:uiPriority w:val="99"/>
    <w:unhideWhenUsed/>
    <w:rsid w:val="00173621"/>
    <w:pPr>
      <w:tabs>
        <w:tab w:val="center" w:pos="4680"/>
        <w:tab w:val="right" w:pos="9360"/>
      </w:tabs>
    </w:pPr>
  </w:style>
  <w:style w:type="character" w:customStyle="1" w:styleId="HeaderChar">
    <w:name w:val="Header Char"/>
    <w:basedOn w:val="DefaultParagraphFont"/>
    <w:link w:val="Header"/>
    <w:uiPriority w:val="99"/>
    <w:rsid w:val="00173621"/>
    <w:rPr>
      <w:rFonts w:eastAsiaTheme="minorHAnsi"/>
    </w:rPr>
  </w:style>
  <w:style w:type="paragraph" w:styleId="Caption">
    <w:name w:val="caption"/>
    <w:basedOn w:val="Normal"/>
    <w:next w:val="Normal"/>
    <w:uiPriority w:val="35"/>
    <w:unhideWhenUsed/>
    <w:qFormat/>
    <w:rsid w:val="0019759E"/>
    <w:rPr>
      <w:b/>
      <w:bCs/>
      <w:color w:val="4F81BD" w:themeColor="accent1"/>
      <w:sz w:val="18"/>
      <w:szCs w:val="18"/>
    </w:rPr>
  </w:style>
  <w:style w:type="paragraph" w:styleId="DocumentMap">
    <w:name w:val="Document Map"/>
    <w:basedOn w:val="Normal"/>
    <w:link w:val="DocumentMapChar"/>
    <w:uiPriority w:val="99"/>
    <w:semiHidden/>
    <w:unhideWhenUsed/>
    <w:rsid w:val="00B0435B"/>
    <w:rPr>
      <w:rFonts w:ascii="Lucida Grande" w:hAnsi="Lucida Grande" w:cs="Lucida Grande"/>
    </w:rPr>
  </w:style>
  <w:style w:type="character" w:customStyle="1" w:styleId="DocumentMapChar">
    <w:name w:val="Document Map Char"/>
    <w:basedOn w:val="DefaultParagraphFont"/>
    <w:link w:val="DocumentMap"/>
    <w:uiPriority w:val="99"/>
    <w:semiHidden/>
    <w:rsid w:val="00B0435B"/>
    <w:rPr>
      <w:rFonts w:ascii="Lucida Grande" w:hAnsi="Lucida Grande" w:cs="Lucida Grande"/>
      <w:sz w:val="24"/>
      <w:szCs w:val="24"/>
    </w:rPr>
  </w:style>
  <w:style w:type="paragraph" w:styleId="FootnoteText">
    <w:name w:val="footnote text"/>
    <w:basedOn w:val="Normal"/>
    <w:link w:val="FootnoteTextChar"/>
    <w:uiPriority w:val="99"/>
    <w:unhideWhenUsed/>
    <w:rsid w:val="00B0435B"/>
  </w:style>
  <w:style w:type="character" w:customStyle="1" w:styleId="FootnoteTextChar">
    <w:name w:val="Footnote Text Char"/>
    <w:basedOn w:val="DefaultParagraphFont"/>
    <w:link w:val="FootnoteText"/>
    <w:uiPriority w:val="99"/>
    <w:rsid w:val="00B0435B"/>
    <w:rPr>
      <w:sz w:val="24"/>
      <w:szCs w:val="24"/>
    </w:rPr>
  </w:style>
  <w:style w:type="paragraph" w:customStyle="1" w:styleId="TableTitleT">
    <w:name w:val="TableTitle_T"/>
    <w:basedOn w:val="TableTitle"/>
    <w:autoRedefine/>
    <w:qFormat/>
    <w:rsid w:val="005061BD"/>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landowski:Documents:Important%20Stuff:Manuscript_Template_v3.5.1.3: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manuscript.dotx</Template>
  <TotalTime>5</TotalTime>
  <Pages>17</Pages>
  <Words>2813</Words>
  <Characters>16036</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UCERF3 Laugh Test Description.docx</vt:lpstr>
    </vt:vector>
  </TitlesOfParts>
  <Company>USGS</Company>
  <LinksUpToDate>false</LinksUpToDate>
  <CharactersWithSpaces>18812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UCERF3 Laugh Test Description.docx</dc:title>
  <dc:creator>Kevin</dc:creator>
  <cp:lastModifiedBy>Hurd, Cory D</cp:lastModifiedBy>
  <cp:revision>5</cp:revision>
  <dcterms:created xsi:type="dcterms:W3CDTF">2013-07-19T17:54:00Z</dcterms:created>
  <dcterms:modified xsi:type="dcterms:W3CDTF">2013-08-05T18:51:00Z</dcterms:modified>
</cp:coreProperties>
</file>